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4CA0B" w14:textId="69D9989E" w:rsidR="0022236F" w:rsidRDefault="0022236F" w:rsidP="001A7E42">
      <w:pPr>
        <w:pStyle w:val="Heading1"/>
        <w:rPr>
          <w:color w:val="auto"/>
          <w:lang w:val="en-US"/>
        </w:rPr>
      </w:pPr>
      <w:r>
        <w:rPr>
          <w:color w:val="auto"/>
          <w:lang w:val="en-US"/>
        </w:rPr>
        <w:t>Mapping Magmatic and Hydrothermal Processes from routine exploration assays.</w:t>
      </w:r>
    </w:p>
    <w:p w14:paraId="5BC0C5D4" w14:textId="0D724D74" w:rsidR="0022236F" w:rsidRDefault="0022236F" w:rsidP="0022236F">
      <w:pPr>
        <w:rPr>
          <w:lang w:val="en-US"/>
        </w:rPr>
      </w:pPr>
    </w:p>
    <w:p w14:paraId="75122325" w14:textId="21B271D2" w:rsidR="0022236F" w:rsidRDefault="0022236F" w:rsidP="0022236F">
      <w:pPr>
        <w:rPr>
          <w:vertAlign w:val="superscript"/>
          <w:lang w:val="en-US"/>
        </w:rPr>
      </w:pPr>
      <w:r>
        <w:rPr>
          <w:lang w:val="en-US"/>
        </w:rPr>
        <w:t>Scott Halley</w:t>
      </w:r>
      <w:r>
        <w:rPr>
          <w:vertAlign w:val="superscript"/>
          <w:lang w:val="en-US"/>
        </w:rPr>
        <w:t>1, 2</w:t>
      </w:r>
    </w:p>
    <w:p w14:paraId="55C54EF1" w14:textId="47D0A8F5" w:rsidR="0022236F" w:rsidRDefault="0022236F" w:rsidP="0022236F">
      <w:pPr>
        <w:pStyle w:val="ListParagraph"/>
        <w:numPr>
          <w:ilvl w:val="0"/>
          <w:numId w:val="4"/>
        </w:numPr>
        <w:rPr>
          <w:lang w:val="en-US"/>
        </w:rPr>
      </w:pPr>
      <w:r>
        <w:rPr>
          <w:lang w:val="en-US"/>
        </w:rPr>
        <w:t>Mineral Mapping Pty Ltd</w:t>
      </w:r>
      <w:r w:rsidR="00A96C2E">
        <w:rPr>
          <w:lang w:val="en-US"/>
        </w:rPr>
        <w:t>,</w:t>
      </w:r>
      <w:r w:rsidR="00A96C2E" w:rsidRPr="00A96C2E">
        <w:rPr>
          <w:lang w:val="en-US"/>
        </w:rPr>
        <w:t xml:space="preserve"> 10</w:t>
      </w:r>
      <w:r w:rsidR="00F22106">
        <w:rPr>
          <w:lang w:val="en-US"/>
        </w:rPr>
        <w:t>9</w:t>
      </w:r>
      <w:r w:rsidR="00A96C2E" w:rsidRPr="00A96C2E">
        <w:rPr>
          <w:lang w:val="en-US"/>
        </w:rPr>
        <w:t xml:space="preserve"> Joyce Street, Hawley Beach, Tasmania 7307, Australia</w:t>
      </w:r>
    </w:p>
    <w:p w14:paraId="2AEE8B0F" w14:textId="0761F979" w:rsidR="00F22106" w:rsidRDefault="00F22106" w:rsidP="0022236F">
      <w:pPr>
        <w:pStyle w:val="ListParagraph"/>
        <w:numPr>
          <w:ilvl w:val="0"/>
          <w:numId w:val="4"/>
        </w:numPr>
        <w:rPr>
          <w:lang w:val="en-US"/>
        </w:rPr>
      </w:pPr>
      <w:r w:rsidRPr="00F22106">
        <w:rPr>
          <w:lang w:val="en-US"/>
        </w:rPr>
        <w:t>Centre for Ore Deposits and Earth Sciences (CODES), University of Tasmania, Hobart, Tasmania 7001, Australia</w:t>
      </w:r>
    </w:p>
    <w:p w14:paraId="161C0256" w14:textId="794E82E5" w:rsidR="0022236F" w:rsidRDefault="0022236F" w:rsidP="001A7E42">
      <w:pPr>
        <w:pStyle w:val="Heading1"/>
        <w:rPr>
          <w:color w:val="auto"/>
          <w:lang w:val="en-US"/>
        </w:rPr>
      </w:pPr>
      <w:r>
        <w:rPr>
          <w:color w:val="auto"/>
          <w:lang w:val="en-US"/>
        </w:rPr>
        <w:t>Abstract</w:t>
      </w:r>
    </w:p>
    <w:p w14:paraId="49D87F37" w14:textId="7FFB8C2B" w:rsidR="0022236F" w:rsidRPr="0022236F" w:rsidRDefault="00AA3069" w:rsidP="0022236F">
      <w:pPr>
        <w:rPr>
          <w:lang w:val="en-US"/>
        </w:rPr>
      </w:pPr>
      <w:r>
        <w:rPr>
          <w:lang w:val="en-US"/>
        </w:rPr>
        <w:t xml:space="preserve">Analytical methods used by commercial assay </w:t>
      </w:r>
      <w:r w:rsidR="00E033EB">
        <w:rPr>
          <w:lang w:val="en-US"/>
        </w:rPr>
        <w:t>laborat</w:t>
      </w:r>
      <w:r w:rsidR="00794E48">
        <w:rPr>
          <w:lang w:val="en-US"/>
        </w:rPr>
        <w:t>or</w:t>
      </w:r>
      <w:r w:rsidR="00E033EB">
        <w:rPr>
          <w:lang w:val="en-US"/>
        </w:rPr>
        <w:t>ies</w:t>
      </w:r>
      <w:r>
        <w:rPr>
          <w:lang w:val="en-US"/>
        </w:rPr>
        <w:t xml:space="preserve"> have improved enormously in recent years. ICP-AES/MS methods now report analyses for half of the periodic table with exceptional detection limits and precision. It is becoming common place for mining companies to use such methods routinely for the analysis of drill samples throughout mineral deposits. </w:t>
      </w:r>
      <w:r w:rsidR="00642797">
        <w:rPr>
          <w:lang w:val="en-US"/>
        </w:rPr>
        <w:t xml:space="preserve">Improvements in software </w:t>
      </w:r>
      <w:r>
        <w:rPr>
          <w:lang w:val="en-US"/>
        </w:rPr>
        <w:t xml:space="preserve">and computing power </w:t>
      </w:r>
      <w:r w:rsidR="00642797">
        <w:rPr>
          <w:lang w:val="en-US"/>
        </w:rPr>
        <w:t xml:space="preserve">now allow </w:t>
      </w:r>
      <w:r>
        <w:rPr>
          <w:lang w:val="en-US"/>
        </w:rPr>
        <w:t>rapid interrogat</w:t>
      </w:r>
      <w:r w:rsidR="001D5749">
        <w:rPr>
          <w:lang w:val="en-US"/>
        </w:rPr>
        <w:t>ion</w:t>
      </w:r>
      <w:r>
        <w:rPr>
          <w:lang w:val="en-US"/>
        </w:rPr>
        <w:t xml:space="preserve"> </w:t>
      </w:r>
      <w:r w:rsidR="001D5749">
        <w:rPr>
          <w:lang w:val="en-US"/>
        </w:rPr>
        <w:t xml:space="preserve">of </w:t>
      </w:r>
      <w:r>
        <w:rPr>
          <w:lang w:val="en-US"/>
        </w:rPr>
        <w:t>upwards of 100,000 assay samples</w:t>
      </w:r>
      <w:r w:rsidR="00642797">
        <w:rPr>
          <w:lang w:val="en-US"/>
        </w:rPr>
        <w:t>.</w:t>
      </w:r>
      <w:r>
        <w:rPr>
          <w:lang w:val="en-US"/>
        </w:rPr>
        <w:t xml:space="preserve"> </w:t>
      </w:r>
      <w:bookmarkStart w:id="0" w:name="_GoBack"/>
      <w:bookmarkEnd w:id="0"/>
      <w:r w:rsidR="008F6F74">
        <w:rPr>
          <w:lang w:val="en-US"/>
        </w:rPr>
        <w:t xml:space="preserve">Assays are quantitative, independent of observer-bias and can form the basis for much more robust geological and mineralogical models of mineral deposits as well as shedding light on scientific issues. </w:t>
      </w:r>
      <w:r w:rsidR="00FA5ECE">
        <w:rPr>
          <w:lang w:val="en-US"/>
        </w:rPr>
        <w:t xml:space="preserve">In particularly, consistently collected, high quality assay data will </w:t>
      </w:r>
      <w:r w:rsidR="00661B77">
        <w:rPr>
          <w:lang w:val="en-US"/>
        </w:rPr>
        <w:t>significantly</w:t>
      </w:r>
      <w:r w:rsidR="00FA5ECE">
        <w:rPr>
          <w:lang w:val="en-US"/>
        </w:rPr>
        <w:t xml:space="preserve"> improve</w:t>
      </w:r>
      <w:r w:rsidR="008F6F74">
        <w:rPr>
          <w:lang w:val="en-US"/>
        </w:rPr>
        <w:t xml:space="preserve"> the systematic and consistent logging of lithological and alteration changes within drill core.</w:t>
      </w:r>
      <w:r w:rsidR="00273FEB">
        <w:rPr>
          <w:lang w:val="en-US"/>
        </w:rPr>
        <w:t xml:space="preserve"> </w:t>
      </w:r>
      <w:r w:rsidR="00FA5ECE">
        <w:rPr>
          <w:lang w:val="en-US"/>
        </w:rPr>
        <w:t>In addition, a</w:t>
      </w:r>
      <w:r w:rsidR="008F6F74">
        <w:rPr>
          <w:lang w:val="en-US"/>
        </w:rPr>
        <w:t>bundant,</w:t>
      </w:r>
      <w:r w:rsidR="00273FEB">
        <w:rPr>
          <w:lang w:val="en-US"/>
        </w:rPr>
        <w:t xml:space="preserve"> </w:t>
      </w:r>
      <w:r w:rsidR="00642797">
        <w:rPr>
          <w:lang w:val="en-US"/>
        </w:rPr>
        <w:t>high-quality</w:t>
      </w:r>
      <w:r w:rsidR="00273FEB">
        <w:rPr>
          <w:lang w:val="en-US"/>
        </w:rPr>
        <w:t xml:space="preserve"> </w:t>
      </w:r>
      <w:r w:rsidR="008F6F74">
        <w:rPr>
          <w:lang w:val="en-US"/>
        </w:rPr>
        <w:t xml:space="preserve">geochemical </w:t>
      </w:r>
      <w:r w:rsidR="00273FEB">
        <w:rPr>
          <w:lang w:val="en-US"/>
        </w:rPr>
        <w:t>data provide</w:t>
      </w:r>
      <w:r w:rsidR="00FA5ECE">
        <w:rPr>
          <w:lang w:val="en-US"/>
        </w:rPr>
        <w:t>s</w:t>
      </w:r>
      <w:r w:rsidR="00273FEB">
        <w:rPr>
          <w:lang w:val="en-US"/>
        </w:rPr>
        <w:t xml:space="preserve"> insights into magmatic and hydrothermal processes that were </w:t>
      </w:r>
      <w:r w:rsidR="008F6F74">
        <w:rPr>
          <w:lang w:val="en-US"/>
        </w:rPr>
        <w:t xml:space="preserve">previously </w:t>
      </w:r>
      <w:r w:rsidR="00273FEB">
        <w:rPr>
          <w:lang w:val="en-US"/>
        </w:rPr>
        <w:t xml:space="preserve">difficult to </w:t>
      </w:r>
      <w:r w:rsidR="008F6F74">
        <w:rPr>
          <w:lang w:val="en-US"/>
        </w:rPr>
        <w:t>recognize, which have obvious applications to mineral exploration and improved genetic models of ore deposits</w:t>
      </w:r>
      <w:r w:rsidR="00273FEB">
        <w:rPr>
          <w:lang w:val="en-US"/>
        </w:rPr>
        <w:t xml:space="preserve">. </w:t>
      </w:r>
      <w:r w:rsidR="00452269">
        <w:rPr>
          <w:lang w:val="en-US"/>
        </w:rPr>
        <w:t xml:space="preserve">This paper describes a workflow that mining </w:t>
      </w:r>
      <w:r w:rsidR="00FA5ECE">
        <w:rPr>
          <w:lang w:val="en-US"/>
        </w:rPr>
        <w:t xml:space="preserve">industry </w:t>
      </w:r>
      <w:r w:rsidR="00452269">
        <w:rPr>
          <w:lang w:val="en-US"/>
        </w:rPr>
        <w:t>geologists can apply to their multi-element assay data to extract more information about magma compositions and gangue mineralogy.</w:t>
      </w:r>
    </w:p>
    <w:p w14:paraId="2517ADE5" w14:textId="21FD8675" w:rsidR="00AB1999" w:rsidRPr="001A7E42" w:rsidRDefault="00AB1999" w:rsidP="001A7E42">
      <w:pPr>
        <w:pStyle w:val="Heading1"/>
        <w:rPr>
          <w:color w:val="auto"/>
          <w:lang w:val="en-US"/>
        </w:rPr>
      </w:pPr>
      <w:r w:rsidRPr="001A7E42">
        <w:rPr>
          <w:color w:val="auto"/>
          <w:lang w:val="en-US"/>
        </w:rPr>
        <w:t>Introduction</w:t>
      </w:r>
    </w:p>
    <w:p w14:paraId="3694A60D" w14:textId="46A5C518" w:rsidR="00E42127" w:rsidRDefault="00AB1999" w:rsidP="00AB1999">
      <w:pPr>
        <w:rPr>
          <w:lang w:val="en-US"/>
        </w:rPr>
      </w:pPr>
      <w:r w:rsidRPr="00AB1999">
        <w:rPr>
          <w:lang w:val="en-US"/>
        </w:rPr>
        <w:t xml:space="preserve">Over the last 40 years, </w:t>
      </w:r>
      <w:r>
        <w:rPr>
          <w:lang w:val="en-US"/>
        </w:rPr>
        <w:t>commercial</w:t>
      </w:r>
      <w:r w:rsidRPr="00AB1999">
        <w:rPr>
          <w:lang w:val="en-US"/>
        </w:rPr>
        <w:t xml:space="preserve"> analytical methods </w:t>
      </w:r>
      <w:r>
        <w:rPr>
          <w:lang w:val="en-US"/>
        </w:rPr>
        <w:t xml:space="preserve">for multielement geochemistry </w:t>
      </w:r>
      <w:r w:rsidRPr="00AB1999">
        <w:rPr>
          <w:lang w:val="en-US"/>
        </w:rPr>
        <w:t xml:space="preserve">have evolved from </w:t>
      </w:r>
      <w:r w:rsidR="007E13E8">
        <w:rPr>
          <w:lang w:val="en-US"/>
        </w:rPr>
        <w:t>x-ray fluorescence (</w:t>
      </w:r>
      <w:r w:rsidRPr="00AB1999">
        <w:rPr>
          <w:lang w:val="en-US"/>
        </w:rPr>
        <w:t>XRF</w:t>
      </w:r>
      <w:r w:rsidR="007E13E8">
        <w:rPr>
          <w:lang w:val="en-US"/>
        </w:rPr>
        <w:t>)</w:t>
      </w:r>
      <w:r w:rsidRPr="00AB1999">
        <w:rPr>
          <w:lang w:val="en-US"/>
        </w:rPr>
        <w:t xml:space="preserve"> and atomic absorption</w:t>
      </w:r>
      <w:r w:rsidR="007E13E8">
        <w:rPr>
          <w:lang w:val="en-US"/>
        </w:rPr>
        <w:t xml:space="preserve"> (AA)</w:t>
      </w:r>
      <w:r w:rsidRPr="00AB1999">
        <w:rPr>
          <w:lang w:val="en-US"/>
        </w:rPr>
        <w:t xml:space="preserve"> spectroscopy</w:t>
      </w:r>
      <w:r w:rsidR="007E13E8">
        <w:rPr>
          <w:lang w:val="en-US"/>
        </w:rPr>
        <w:t>,</w:t>
      </w:r>
      <w:r w:rsidRPr="00AB1999">
        <w:rPr>
          <w:lang w:val="en-US"/>
        </w:rPr>
        <w:t xml:space="preserve"> to </w:t>
      </w:r>
      <w:r w:rsidR="007E13E8">
        <w:rPr>
          <w:lang w:val="en-US"/>
        </w:rPr>
        <w:t>i</w:t>
      </w:r>
      <w:r w:rsidRPr="00AB1999">
        <w:rPr>
          <w:lang w:val="en-US"/>
        </w:rPr>
        <w:t xml:space="preserve">nstrumental </w:t>
      </w:r>
      <w:r w:rsidR="007E13E8">
        <w:rPr>
          <w:lang w:val="en-US"/>
        </w:rPr>
        <w:t>n</w:t>
      </w:r>
      <w:r w:rsidRPr="00AB1999">
        <w:rPr>
          <w:lang w:val="en-US"/>
        </w:rPr>
        <w:t xml:space="preserve">eutron </w:t>
      </w:r>
      <w:r w:rsidR="007E13E8">
        <w:rPr>
          <w:lang w:val="en-US"/>
        </w:rPr>
        <w:t>a</w:t>
      </w:r>
      <w:r w:rsidRPr="00AB1999">
        <w:rPr>
          <w:lang w:val="en-US"/>
        </w:rPr>
        <w:t xml:space="preserve">ctivation </w:t>
      </w:r>
      <w:r w:rsidR="007E13E8">
        <w:rPr>
          <w:lang w:val="en-US"/>
        </w:rPr>
        <w:t>a</w:t>
      </w:r>
      <w:r w:rsidRPr="00AB1999">
        <w:rPr>
          <w:lang w:val="en-US"/>
        </w:rPr>
        <w:t xml:space="preserve">nalysis </w:t>
      </w:r>
      <w:r w:rsidR="007E13E8">
        <w:rPr>
          <w:lang w:val="en-US"/>
        </w:rPr>
        <w:t xml:space="preserve">(INAA) </w:t>
      </w:r>
      <w:r w:rsidRPr="00AB1999">
        <w:rPr>
          <w:lang w:val="en-US"/>
        </w:rPr>
        <w:t xml:space="preserve">to </w:t>
      </w:r>
      <w:r w:rsidR="007E13E8">
        <w:rPr>
          <w:lang w:val="en-US"/>
        </w:rPr>
        <w:t xml:space="preserve">inductively coupled plasma - </w:t>
      </w:r>
      <w:r w:rsidRPr="00AB1999">
        <w:rPr>
          <w:lang w:val="en-US"/>
        </w:rPr>
        <w:t xml:space="preserve">atomic emission spectroscopy </w:t>
      </w:r>
      <w:r w:rsidR="007E13E8">
        <w:rPr>
          <w:lang w:val="en-US"/>
        </w:rPr>
        <w:t>(ICP-AES) and</w:t>
      </w:r>
      <w:r w:rsidR="007E13E8" w:rsidRPr="00AB1999">
        <w:rPr>
          <w:lang w:val="en-US"/>
        </w:rPr>
        <w:t xml:space="preserve"> </w:t>
      </w:r>
      <w:r w:rsidR="007E13E8">
        <w:rPr>
          <w:lang w:val="en-US"/>
        </w:rPr>
        <w:t>inductively coupled plasma</w:t>
      </w:r>
      <w:r w:rsidR="007E13E8" w:rsidRPr="00AB1999">
        <w:rPr>
          <w:lang w:val="en-US"/>
        </w:rPr>
        <w:t xml:space="preserve"> </w:t>
      </w:r>
      <w:r w:rsidR="007E13E8">
        <w:rPr>
          <w:lang w:val="en-US"/>
        </w:rPr>
        <w:t xml:space="preserve">- </w:t>
      </w:r>
      <w:r w:rsidRPr="00AB1999">
        <w:rPr>
          <w:lang w:val="en-US"/>
        </w:rPr>
        <w:t>mass spectroscopy</w:t>
      </w:r>
      <w:r w:rsidR="007E13E8">
        <w:rPr>
          <w:lang w:val="en-US"/>
        </w:rPr>
        <w:t xml:space="preserve"> (ICP-MS)</w:t>
      </w:r>
      <w:r w:rsidRPr="00AB1999">
        <w:rPr>
          <w:lang w:val="en-US"/>
        </w:rPr>
        <w:t>. Adjusted for inflation, commercial assay laboratories now deliver analyses for half of the periodic table for the same price as half a dozen base metals by AAS 40 years ago.</w:t>
      </w:r>
      <w:r>
        <w:rPr>
          <w:lang w:val="en-US"/>
        </w:rPr>
        <w:t xml:space="preserve"> </w:t>
      </w:r>
      <w:r w:rsidR="00E033EB">
        <w:rPr>
          <w:lang w:val="en-US"/>
        </w:rPr>
        <w:t>The assay data that mining and exploration companies can routinely obtain from commercial laboratories has detection limits and precision that is superior to those typically obtained in research laboratories 20 years ago. This evolution has been enabling the routine production of large volume of high</w:t>
      </w:r>
      <w:r w:rsidR="00341490">
        <w:rPr>
          <w:lang w:val="en-US"/>
        </w:rPr>
        <w:t>-</w:t>
      </w:r>
      <w:r w:rsidR="00E033EB">
        <w:rPr>
          <w:lang w:val="en-US"/>
        </w:rPr>
        <w:t xml:space="preserve">quality compositional datasets by mining companies, triggering a more recent </w:t>
      </w:r>
      <w:r w:rsidR="00664802">
        <w:rPr>
          <w:lang w:val="en-US"/>
        </w:rPr>
        <w:t>development</w:t>
      </w:r>
      <w:r w:rsidR="00E033EB">
        <w:rPr>
          <w:lang w:val="en-US"/>
        </w:rPr>
        <w:t xml:space="preserve"> of the methods that are commonly employed to interrogate compositional dataset with exploration and mining objectives.   </w:t>
      </w:r>
    </w:p>
    <w:p w14:paraId="33A32AA7" w14:textId="1B8F478E" w:rsidR="00AB1999" w:rsidRDefault="00663C0C" w:rsidP="00AB1999">
      <w:pPr>
        <w:rPr>
          <w:lang w:val="en-US"/>
        </w:rPr>
      </w:pPr>
      <w:r>
        <w:rPr>
          <w:lang w:val="en-US"/>
        </w:rPr>
        <w:t xml:space="preserve">An assay method that uses a </w:t>
      </w:r>
      <w:r w:rsidR="00341490">
        <w:rPr>
          <w:lang w:val="en-US"/>
        </w:rPr>
        <w:t xml:space="preserve">four-acid </w:t>
      </w:r>
      <w:r w:rsidR="00AB1999" w:rsidRPr="00AB1999">
        <w:rPr>
          <w:lang w:val="en-US"/>
        </w:rPr>
        <w:t xml:space="preserve">digest with a combination of ICP AES and ICP MS is gradually becoming an industry standard. </w:t>
      </w:r>
      <w:r>
        <w:rPr>
          <w:lang w:val="en-US"/>
        </w:rPr>
        <w:t>When every drill hole</w:t>
      </w:r>
      <w:r w:rsidR="00BA7CA9">
        <w:rPr>
          <w:lang w:val="en-US"/>
        </w:rPr>
        <w:t xml:space="preserve"> sample </w:t>
      </w:r>
      <w:r>
        <w:rPr>
          <w:lang w:val="en-US"/>
        </w:rPr>
        <w:t xml:space="preserve">in a deposit </w:t>
      </w:r>
      <w:r w:rsidR="00664802">
        <w:rPr>
          <w:lang w:val="en-US"/>
        </w:rPr>
        <w:t>is</w:t>
      </w:r>
      <w:r>
        <w:rPr>
          <w:lang w:val="en-US"/>
        </w:rPr>
        <w:t xml:space="preserve"> </w:t>
      </w:r>
      <w:r w:rsidR="00642797">
        <w:rPr>
          <w:lang w:val="en-US"/>
        </w:rPr>
        <w:t>analyzed</w:t>
      </w:r>
      <w:r>
        <w:rPr>
          <w:lang w:val="en-US"/>
        </w:rPr>
        <w:t xml:space="preserve"> with this method, the result</w:t>
      </w:r>
      <w:r w:rsidR="00642797">
        <w:rPr>
          <w:lang w:val="en-US"/>
        </w:rPr>
        <w:t>ing</w:t>
      </w:r>
      <w:r>
        <w:rPr>
          <w:lang w:val="en-US"/>
        </w:rPr>
        <w:t xml:space="preserve"> data base is likely to have between 50,000 and 100,000 assays.</w:t>
      </w:r>
      <w:r w:rsidR="005804BF">
        <w:rPr>
          <w:lang w:val="en-US"/>
        </w:rPr>
        <w:t xml:space="preserve"> As a comparison, in the past, Ph.D. studies of mineral deposits might have generated a few hundred analyses at most. </w:t>
      </w:r>
      <w:r>
        <w:rPr>
          <w:lang w:val="en-US"/>
        </w:rPr>
        <w:t xml:space="preserve"> </w:t>
      </w:r>
      <w:r w:rsidR="005804BF" w:rsidRPr="005804BF">
        <w:rPr>
          <w:lang w:val="en-US"/>
        </w:rPr>
        <w:t>N</w:t>
      </w:r>
      <w:r w:rsidR="00C61466" w:rsidRPr="005804BF">
        <w:rPr>
          <w:lang w:val="en-US"/>
        </w:rPr>
        <w:t>umerous improved freeware and commercial products, as well as machine learning approaches can now take advantage of these very large data sets</w:t>
      </w:r>
      <w:r w:rsidR="005804BF">
        <w:rPr>
          <w:lang w:val="en-US"/>
        </w:rPr>
        <w:t xml:space="preserve">. The examples presented here were plotted in </w:t>
      </w:r>
      <w:proofErr w:type="spellStart"/>
      <w:r w:rsidR="005804BF">
        <w:rPr>
          <w:lang w:val="en-US"/>
        </w:rPr>
        <w:t>ioGAS</w:t>
      </w:r>
      <w:r w:rsidR="005804BF" w:rsidRPr="008816A9">
        <w:rPr>
          <w:vertAlign w:val="superscript"/>
          <w:lang w:val="en-US"/>
        </w:rPr>
        <w:t>TM</w:t>
      </w:r>
      <w:proofErr w:type="spellEnd"/>
      <w:r w:rsidR="008816A9">
        <w:rPr>
          <w:lang w:val="en-US"/>
        </w:rPr>
        <w:t xml:space="preserve"> </w:t>
      </w:r>
      <w:r w:rsidR="008816A9" w:rsidRPr="008816A9">
        <w:rPr>
          <w:lang w:val="en-US"/>
        </w:rPr>
        <w:t>which</w:t>
      </w:r>
      <w:r w:rsidR="00A36921" w:rsidRPr="008816A9">
        <w:rPr>
          <w:lang w:val="en-US"/>
        </w:rPr>
        <w:t xml:space="preserve"> </w:t>
      </w:r>
      <w:r w:rsidR="00A36921">
        <w:rPr>
          <w:lang w:val="en-US"/>
        </w:rPr>
        <w:t xml:space="preserve">is now the industry standard for interrogating large multielement geochemistry data sets. It is only just in the last 5 years that the software and desktop </w:t>
      </w:r>
      <w:r w:rsidR="00A36921">
        <w:rPr>
          <w:lang w:val="en-US"/>
        </w:rPr>
        <w:lastRenderedPageBreak/>
        <w:t xml:space="preserve">computing power has been sufficient to deal with data bases of 50,000 assays with more than 40 elements in the assay suite. </w:t>
      </w:r>
      <w:r>
        <w:rPr>
          <w:lang w:val="en-US"/>
        </w:rPr>
        <w:t xml:space="preserve">Such large volumes of data allow recognition of patterns and processes in mineral deposits that could never have been visualized in the past. </w:t>
      </w:r>
      <w:r w:rsidR="00AB1999" w:rsidRPr="00AB1999">
        <w:rPr>
          <w:lang w:val="en-US"/>
        </w:rPr>
        <w:t xml:space="preserve">Even though vast amounts of data are being generated, </w:t>
      </w:r>
      <w:r w:rsidR="00AF12DF">
        <w:rPr>
          <w:lang w:val="en-US"/>
        </w:rPr>
        <w:t>many</w:t>
      </w:r>
      <w:r w:rsidR="00AF12DF" w:rsidRPr="00AB1999">
        <w:rPr>
          <w:lang w:val="en-US"/>
        </w:rPr>
        <w:t xml:space="preserve"> </w:t>
      </w:r>
      <w:r w:rsidR="00AB1999" w:rsidRPr="00AB1999">
        <w:rPr>
          <w:lang w:val="en-US"/>
        </w:rPr>
        <w:t>companies still plot Cu, Au and a few pathfinder</w:t>
      </w:r>
      <w:r w:rsidR="00AF12DF">
        <w:rPr>
          <w:lang w:val="en-US"/>
        </w:rPr>
        <w:t xml:space="preserve"> elements rather than taking advantage of the full element suite which is now available</w:t>
      </w:r>
      <w:r>
        <w:rPr>
          <w:lang w:val="en-US"/>
        </w:rPr>
        <w:t xml:space="preserve">. This paper presents a suggested set of geochemistry plots that </w:t>
      </w:r>
      <w:r w:rsidR="00642797">
        <w:rPr>
          <w:lang w:val="en-US"/>
        </w:rPr>
        <w:t>mining,</w:t>
      </w:r>
      <w:r>
        <w:rPr>
          <w:lang w:val="en-US"/>
        </w:rPr>
        <w:t xml:space="preserve"> and exploration geologists can apply to their ICP analyses to help discriminate compositional groups and alteration processes</w:t>
      </w:r>
      <w:r w:rsidR="00D9545C">
        <w:rPr>
          <w:lang w:val="en-US"/>
        </w:rPr>
        <w:t xml:space="preserve">. </w:t>
      </w:r>
      <w:r>
        <w:rPr>
          <w:lang w:val="en-US"/>
        </w:rPr>
        <w:t xml:space="preserve"> </w:t>
      </w:r>
    </w:p>
    <w:p w14:paraId="4A5BD157" w14:textId="22F005A6" w:rsidR="009C335A" w:rsidRPr="00AB1999" w:rsidRDefault="00D9545C" w:rsidP="009C335A">
      <w:r>
        <w:t xml:space="preserve">Commercial assay laboratories offer a choice of digestion and assay methods for multielement geochemistry. Aqua regia dissolves sulphide minerals, carbonates, most oxides and a few clay minerals, but it does not dissolve framework silicates or </w:t>
      </w:r>
      <w:proofErr w:type="spellStart"/>
      <w:r>
        <w:t>resistate</w:t>
      </w:r>
      <w:proofErr w:type="spellEnd"/>
      <w:r>
        <w:t xml:space="preserve"> accessory minerals. Most laboratories offer a </w:t>
      </w:r>
      <w:r w:rsidR="00E333DF">
        <w:t>four-acid digest</w:t>
      </w:r>
      <w:r>
        <w:t xml:space="preserve">, sometimes called a multi-acid digest. This is a combination of nitric, perchloric, hydrofluoric and hydrochloric acid. </w:t>
      </w:r>
      <w:r w:rsidR="009C335A">
        <w:t xml:space="preserve">When it is done well, a </w:t>
      </w:r>
      <w:r w:rsidR="00E333DF">
        <w:t>four-acid digest</w:t>
      </w:r>
      <w:r w:rsidR="009C335A">
        <w:t xml:space="preserve"> achieves complete digestion of </w:t>
      </w:r>
      <w:r w:rsidR="008816A9">
        <w:t xml:space="preserve">nearly </w:t>
      </w:r>
      <w:r w:rsidR="009C335A">
        <w:t>all minerals. Zircon is the most difficult mineral to dissolve</w:t>
      </w:r>
      <w:r w:rsidR="005D52A5">
        <w:t xml:space="preserve"> (</w:t>
      </w:r>
      <w:proofErr w:type="spellStart"/>
      <w:r w:rsidR="005D52A5" w:rsidRPr="00664802">
        <w:t>Magaldi</w:t>
      </w:r>
      <w:proofErr w:type="spellEnd"/>
      <w:r w:rsidR="005D52A5" w:rsidRPr="00664802">
        <w:t xml:space="preserve"> et al., 2019)</w:t>
      </w:r>
      <w:r w:rsidR="009C335A">
        <w:t xml:space="preserve">. When there is radiation damage in the zircon crystals, the zircons will dissolve. </w:t>
      </w:r>
      <w:r w:rsidR="00642797">
        <w:t>However,</w:t>
      </w:r>
      <w:r w:rsidR="009C335A">
        <w:t xml:space="preserve"> in younger rocks the zircon analyses will significantly under-report. </w:t>
      </w:r>
      <w:r w:rsidR="009C335A" w:rsidRPr="00AB1999">
        <w:rPr>
          <w:lang w:val="en-US"/>
        </w:rPr>
        <w:t xml:space="preserve">Cr by </w:t>
      </w:r>
      <w:r w:rsidR="00E333DF">
        <w:rPr>
          <w:lang w:val="en-US"/>
        </w:rPr>
        <w:t>four-acid digest</w:t>
      </w:r>
      <w:r w:rsidR="009C335A" w:rsidRPr="00AB1999">
        <w:rPr>
          <w:lang w:val="en-US"/>
        </w:rPr>
        <w:t xml:space="preserve"> ICP-MS is commonly 50 to 75% of Cr reported by XRF</w:t>
      </w:r>
      <w:r w:rsidR="005D52A5">
        <w:rPr>
          <w:lang w:val="en-US"/>
        </w:rPr>
        <w:t xml:space="preserve"> (</w:t>
      </w:r>
      <w:r w:rsidR="005D52A5" w:rsidRPr="00664802">
        <w:t>Yamasaki, et al., 2016)</w:t>
      </w:r>
      <w:r w:rsidR="009C335A" w:rsidRPr="00664802">
        <w:t>. It is also common</w:t>
      </w:r>
      <w:r w:rsidR="009C335A" w:rsidRPr="00AB1999">
        <w:rPr>
          <w:lang w:val="en-US"/>
        </w:rPr>
        <w:t xml:space="preserve"> for Al by </w:t>
      </w:r>
      <w:r w:rsidR="00E333DF">
        <w:rPr>
          <w:lang w:val="en-US"/>
        </w:rPr>
        <w:t>four-acid digest</w:t>
      </w:r>
      <w:r w:rsidR="009C335A" w:rsidRPr="00AB1999">
        <w:rPr>
          <w:lang w:val="en-US"/>
        </w:rPr>
        <w:t xml:space="preserve"> ICP-MS to under-report by 5 to 10%. The degree to which many elements are incompletely dissolved is commonly related to alteration types. Refractory </w:t>
      </w:r>
      <w:r w:rsidR="009C335A">
        <w:rPr>
          <w:lang w:val="en-US"/>
        </w:rPr>
        <w:t>minerals</w:t>
      </w:r>
      <w:r w:rsidR="009C335A" w:rsidRPr="00AB1999">
        <w:rPr>
          <w:lang w:val="en-US"/>
        </w:rPr>
        <w:t xml:space="preserve"> are more difficult to dissolve in rocks from acid alteration facies.</w:t>
      </w:r>
    </w:p>
    <w:p w14:paraId="15A82608" w14:textId="1B14B2BC" w:rsidR="00AB1999" w:rsidRDefault="00AB1999" w:rsidP="00AB1999">
      <w:pPr>
        <w:rPr>
          <w:lang w:val="en-US"/>
        </w:rPr>
      </w:pPr>
      <w:r w:rsidRPr="00AB1999">
        <w:rPr>
          <w:lang w:val="en-US"/>
        </w:rPr>
        <w:t xml:space="preserve">All laboratories add a disclaimer to the analyses </w:t>
      </w:r>
      <w:r w:rsidR="009C335A">
        <w:rPr>
          <w:lang w:val="en-US"/>
        </w:rPr>
        <w:t xml:space="preserve">from </w:t>
      </w:r>
      <w:r w:rsidR="00E333DF">
        <w:rPr>
          <w:lang w:val="en-US"/>
        </w:rPr>
        <w:t>four-acid digest</w:t>
      </w:r>
      <w:r w:rsidR="009C335A">
        <w:rPr>
          <w:lang w:val="en-US"/>
        </w:rPr>
        <w:t xml:space="preserve"> </w:t>
      </w:r>
      <w:r w:rsidRPr="00AB1999">
        <w:rPr>
          <w:lang w:val="en-US"/>
        </w:rPr>
        <w:t xml:space="preserve">advising that some </w:t>
      </w:r>
      <w:r w:rsidR="00DA430A">
        <w:rPr>
          <w:lang w:val="en-US"/>
        </w:rPr>
        <w:t>elements</w:t>
      </w:r>
      <w:r w:rsidR="00DA430A" w:rsidRPr="00AB1999">
        <w:rPr>
          <w:lang w:val="en-US"/>
        </w:rPr>
        <w:t xml:space="preserve"> </w:t>
      </w:r>
      <w:r w:rsidRPr="00AB1999">
        <w:rPr>
          <w:lang w:val="en-US"/>
        </w:rPr>
        <w:t xml:space="preserve">may not be completely dissolved with a </w:t>
      </w:r>
      <w:r w:rsidR="00E333DF">
        <w:rPr>
          <w:lang w:val="en-US"/>
        </w:rPr>
        <w:t>four-acid digest</w:t>
      </w:r>
      <w:r w:rsidRPr="00AB1999">
        <w:rPr>
          <w:lang w:val="en-US"/>
        </w:rPr>
        <w:t xml:space="preserve">. The reality is that there is a significant difference reported by different laboratories for the same samples. All </w:t>
      </w:r>
      <w:r w:rsidR="009C335A">
        <w:rPr>
          <w:lang w:val="en-US"/>
        </w:rPr>
        <w:t>laboratories</w:t>
      </w:r>
      <w:r w:rsidRPr="00AB1999">
        <w:rPr>
          <w:lang w:val="en-US"/>
        </w:rPr>
        <w:t xml:space="preserve"> use the same ICP AES and MS instruments. The differences in results are due to different acid digest</w:t>
      </w:r>
      <w:r w:rsidR="009C335A">
        <w:rPr>
          <w:lang w:val="en-US"/>
        </w:rPr>
        <w:t xml:space="preserve">ion procedures. </w:t>
      </w:r>
      <w:r w:rsidR="00575B9D">
        <w:rPr>
          <w:lang w:val="en-US"/>
        </w:rPr>
        <w:t xml:space="preserve">Every assay laboratory aims to provide good quality data for the metals of economic significance. However not all laboratories refine the digestion procedure to maximize dissolution of refractory minerals. </w:t>
      </w:r>
      <w:r w:rsidRPr="00AB1999">
        <w:rPr>
          <w:lang w:val="en-US"/>
        </w:rPr>
        <w:t xml:space="preserve">The sample preparation is </w:t>
      </w:r>
      <w:r w:rsidR="00575B9D">
        <w:rPr>
          <w:lang w:val="en-US"/>
        </w:rPr>
        <w:t xml:space="preserve">also </w:t>
      </w:r>
      <w:r w:rsidRPr="00AB1999">
        <w:rPr>
          <w:lang w:val="en-US"/>
        </w:rPr>
        <w:t xml:space="preserve">critically important, because most of the metals being dissolved have very low solubility, therefore only a very small portion of powder can be utilized. It is vitally important to use crushing and grinding procedures that homogenize the sample as thoroughly as possible in order to get repeatable analyses. </w:t>
      </w:r>
    </w:p>
    <w:p w14:paraId="71A5822D" w14:textId="65A161C0" w:rsidR="009C335A" w:rsidRPr="00AB1999" w:rsidRDefault="00575B9D" w:rsidP="00AB1999">
      <w:r>
        <w:rPr>
          <w:lang w:val="en-US"/>
        </w:rPr>
        <w:t xml:space="preserve">The other common option is a lithium </w:t>
      </w:r>
      <w:r w:rsidR="009C335A">
        <w:rPr>
          <w:lang w:val="en-US"/>
        </w:rPr>
        <w:t>borate fusion</w:t>
      </w:r>
      <w:r>
        <w:rPr>
          <w:lang w:val="en-US"/>
        </w:rPr>
        <w:t xml:space="preserve"> </w:t>
      </w:r>
      <w:r w:rsidR="008816A9">
        <w:rPr>
          <w:lang w:val="en-US"/>
        </w:rPr>
        <w:t xml:space="preserve">prior to </w:t>
      </w:r>
      <w:r w:rsidR="00EF7171">
        <w:rPr>
          <w:lang w:val="en-US"/>
        </w:rPr>
        <w:t>dissolution in acid</w:t>
      </w:r>
      <w:r>
        <w:rPr>
          <w:lang w:val="en-US"/>
        </w:rPr>
        <w:t xml:space="preserve">. The lithium borate fusion ensures a more complete digestion. However, there is a trade-off. </w:t>
      </w:r>
      <w:r w:rsidR="002C0997">
        <w:rPr>
          <w:lang w:val="en-US"/>
        </w:rPr>
        <w:t>T</w:t>
      </w:r>
      <w:r w:rsidR="00DA430A">
        <w:rPr>
          <w:lang w:val="en-US"/>
        </w:rPr>
        <w:t>he more complete digestion adds significant sample matrix, increasing</w:t>
      </w:r>
      <w:r>
        <w:rPr>
          <w:lang w:val="en-US"/>
        </w:rPr>
        <w:t xml:space="preserve"> the interference effects during the analysis, so it increases the lower detection limit and reduces the precision.</w:t>
      </w:r>
      <w:r w:rsidR="006456C0">
        <w:rPr>
          <w:lang w:val="en-US"/>
        </w:rPr>
        <w:t xml:space="preserve"> </w:t>
      </w:r>
      <w:r w:rsidR="00EF7171">
        <w:rPr>
          <w:lang w:val="en-US"/>
        </w:rPr>
        <w:t>A four-acid digest will resolve patterns in immobile trace elements better than a lithium borate fusion, even if the digestion is not completely total, but the fusion method will give more accurate analyses of major elements.</w:t>
      </w:r>
      <w:r w:rsidR="006456C0">
        <w:rPr>
          <w:lang w:val="en-US"/>
        </w:rPr>
        <w:t xml:space="preserve"> No single digest </w:t>
      </w:r>
      <w:r w:rsidR="00642797">
        <w:rPr>
          <w:lang w:val="en-US"/>
        </w:rPr>
        <w:t>and</w:t>
      </w:r>
      <w:r w:rsidR="006456C0">
        <w:rPr>
          <w:lang w:val="en-US"/>
        </w:rPr>
        <w:t xml:space="preserve"> analysis method </w:t>
      </w:r>
      <w:proofErr w:type="gramStart"/>
      <w:r w:rsidR="006456C0">
        <w:rPr>
          <w:lang w:val="en-US"/>
        </w:rPr>
        <w:t>gives</w:t>
      </w:r>
      <w:proofErr w:type="gramEnd"/>
      <w:r w:rsidR="006456C0">
        <w:rPr>
          <w:lang w:val="en-US"/>
        </w:rPr>
        <w:t xml:space="preserve"> the best result for every element. A </w:t>
      </w:r>
      <w:r w:rsidR="00E333DF">
        <w:rPr>
          <w:lang w:val="en-US"/>
        </w:rPr>
        <w:t>four-acid digest</w:t>
      </w:r>
      <w:r w:rsidR="006456C0">
        <w:rPr>
          <w:lang w:val="en-US"/>
        </w:rPr>
        <w:t xml:space="preserve"> ICP-AES/MS package is the best fit-for-purpose method at an affordable price for mining and exploration. </w:t>
      </w:r>
    </w:p>
    <w:p w14:paraId="30BA3947" w14:textId="61B9392A" w:rsidR="00663C0C" w:rsidRDefault="00642797" w:rsidP="00663C0C">
      <w:pPr>
        <w:rPr>
          <w:lang w:val="en-US"/>
        </w:rPr>
      </w:pPr>
      <w:r>
        <w:rPr>
          <w:lang w:val="en-US"/>
        </w:rPr>
        <w:t>The</w:t>
      </w:r>
      <w:r w:rsidR="006456C0">
        <w:rPr>
          <w:lang w:val="en-US"/>
        </w:rPr>
        <w:t xml:space="preserve"> interpretation of geochemical data always has a degree of ambiguity. Interpreting assay data should always involve going back to the drill core to test the ambiguities and to confirm the boundaries and discontinuities in the data. </w:t>
      </w:r>
      <w:r w:rsidR="005C7E24">
        <w:rPr>
          <w:lang w:val="en-US"/>
        </w:rPr>
        <w:t>T</w:t>
      </w:r>
      <w:r w:rsidR="005C7E24" w:rsidRPr="005C7E24">
        <w:rPr>
          <w:lang w:val="en-US"/>
        </w:rPr>
        <w:t>he data present</w:t>
      </w:r>
      <w:r w:rsidR="005C7E24">
        <w:rPr>
          <w:lang w:val="en-US"/>
        </w:rPr>
        <w:t>ed</w:t>
      </w:r>
      <w:r w:rsidR="005C7E24" w:rsidRPr="005C7E24">
        <w:rPr>
          <w:lang w:val="en-US"/>
        </w:rPr>
        <w:t xml:space="preserve"> </w:t>
      </w:r>
      <w:r w:rsidR="005C7E24">
        <w:rPr>
          <w:lang w:val="en-US"/>
        </w:rPr>
        <w:t xml:space="preserve">in this paper </w:t>
      </w:r>
      <w:r w:rsidR="005C7E24" w:rsidRPr="005C7E24">
        <w:rPr>
          <w:lang w:val="en-US"/>
        </w:rPr>
        <w:t>come</w:t>
      </w:r>
      <w:r w:rsidR="005C7E24">
        <w:rPr>
          <w:lang w:val="en-US"/>
        </w:rPr>
        <w:t>s</w:t>
      </w:r>
      <w:r w:rsidR="005C7E24" w:rsidRPr="005C7E24">
        <w:rPr>
          <w:lang w:val="en-US"/>
        </w:rPr>
        <w:t xml:space="preserve"> from various real</w:t>
      </w:r>
      <w:r w:rsidR="005C7E24">
        <w:rPr>
          <w:lang w:val="en-US"/>
        </w:rPr>
        <w:t>-</w:t>
      </w:r>
      <w:r w:rsidR="005C7E24" w:rsidRPr="005C7E24">
        <w:rPr>
          <w:lang w:val="en-US"/>
        </w:rPr>
        <w:t>world case studies</w:t>
      </w:r>
      <w:r w:rsidR="005C7E24">
        <w:rPr>
          <w:lang w:val="en-US"/>
        </w:rPr>
        <w:t>.</w:t>
      </w:r>
      <w:r w:rsidR="005C7E24" w:rsidRPr="005C7E24">
        <w:rPr>
          <w:lang w:val="en-US"/>
        </w:rPr>
        <w:t xml:space="preserve"> </w:t>
      </w:r>
      <w:r w:rsidR="005C7E24">
        <w:rPr>
          <w:lang w:val="en-US"/>
        </w:rPr>
        <w:t>P</w:t>
      </w:r>
      <w:r w:rsidR="005C7E24" w:rsidRPr="005C7E24">
        <w:rPr>
          <w:lang w:val="en-US"/>
        </w:rPr>
        <w:t xml:space="preserve">ermission </w:t>
      </w:r>
      <w:r w:rsidR="005C7E24">
        <w:rPr>
          <w:lang w:val="en-US"/>
        </w:rPr>
        <w:t xml:space="preserve">has been granted to present the data, but not to display it spatially. </w:t>
      </w:r>
    </w:p>
    <w:p w14:paraId="70AD089D" w14:textId="77777777" w:rsidR="00FB5296" w:rsidRDefault="00FB5296" w:rsidP="00663C0C">
      <w:pPr>
        <w:rPr>
          <w:lang w:val="en-US"/>
        </w:rPr>
      </w:pPr>
    </w:p>
    <w:p w14:paraId="218001EE" w14:textId="4BB716ED" w:rsidR="004D7AD7" w:rsidRPr="00A83A61" w:rsidRDefault="00A83A61" w:rsidP="00A83A61">
      <w:pPr>
        <w:pStyle w:val="Heading1"/>
        <w:rPr>
          <w:color w:val="auto"/>
        </w:rPr>
      </w:pPr>
      <w:r w:rsidRPr="00A83A61">
        <w:rPr>
          <w:color w:val="auto"/>
        </w:rPr>
        <w:lastRenderedPageBreak/>
        <w:t>Mapping Rock Compositions</w:t>
      </w:r>
    </w:p>
    <w:p w14:paraId="03AE9919" w14:textId="42111BF2" w:rsidR="005C7E24" w:rsidRDefault="005C7E24" w:rsidP="001A7E42">
      <w:pPr>
        <w:rPr>
          <w:lang w:val="en-US"/>
        </w:rPr>
      </w:pPr>
      <w:r w:rsidRPr="005C7E24">
        <w:rPr>
          <w:lang w:val="en-US"/>
        </w:rPr>
        <w:t xml:space="preserve">The following work flow is designed to allow a geologist to track magmatic fractionation processes through the assessment of 4-acid ICP-AES/MS data, and allow the recognition of things such as fractional </w:t>
      </w:r>
      <w:r w:rsidR="00A634CB" w:rsidRPr="005C7E24">
        <w:rPr>
          <w:lang w:val="en-US"/>
        </w:rPr>
        <w:t>crystallization</w:t>
      </w:r>
      <w:r w:rsidRPr="005C7E24">
        <w:rPr>
          <w:lang w:val="en-US"/>
        </w:rPr>
        <w:t xml:space="preserve"> of particular mineral phases, magma mixing and other processes that might be important contributing factors to ore genesis</w:t>
      </w:r>
      <w:r>
        <w:rPr>
          <w:lang w:val="en-US"/>
        </w:rPr>
        <w:t xml:space="preserve">. </w:t>
      </w:r>
    </w:p>
    <w:p w14:paraId="2B42C404" w14:textId="195DE933" w:rsidR="00A634CB" w:rsidRDefault="00A634CB" w:rsidP="00A634CB">
      <w:r>
        <w:t xml:space="preserve">Many mineral deposits are genetically related to fractionating magmas. The mineral phases that crystallize early and fractionate are determined by the source region composition, temperature, pressure, oxidation state, water content and </w:t>
      </w:r>
      <w:proofErr w:type="spellStart"/>
      <w:r>
        <w:t>sulfur</w:t>
      </w:r>
      <w:proofErr w:type="spellEnd"/>
      <w:r>
        <w:t xml:space="preserve"> content of the melt. All these factors contribute to the potential of a given magma to generate a metal-bearing hydrothermal fluid, and those factors determine which metals are most enriched in that fluid. Loucks (2014) described a set of geochemical proxies for magmatic processes that indicate fertility for porphyry Cu magmas. By understanding the fractionation signatures in assay data, fertility indicators for all types of magmatic/hydrothermal systems, not just porphyry Cu systems, are easily derived.</w:t>
      </w:r>
    </w:p>
    <w:p w14:paraId="4F192964" w14:textId="35FC0728" w:rsidR="005C7E24" w:rsidRDefault="005C7E24" w:rsidP="005C7E24">
      <w:pPr>
        <w:rPr>
          <w:lang w:val="en-US"/>
        </w:rPr>
      </w:pPr>
      <w:r>
        <w:rPr>
          <w:lang w:val="en-US"/>
        </w:rPr>
        <w:t>The same basic workflow can also be applied to sedimentary rocks, although it is easier to interpret the chemistry of coherent facies rocks than volcaniclastics or sediments. Coherent facies rocks are usually quite homogenous compositionally, whereas v</w:t>
      </w:r>
      <w:r w:rsidRPr="001A7E42">
        <w:rPr>
          <w:lang w:val="en-US"/>
        </w:rPr>
        <w:t>olcanic</w:t>
      </w:r>
      <w:r>
        <w:rPr>
          <w:lang w:val="en-US"/>
        </w:rPr>
        <w:t>lastics and sediments generally have a mixed provenance and do not plot as distinct clusters on immobile trace element plots. Sorting of minerals and grain size fractions during transport and deposition of sediments leads to large variability of trace element chemistry across small spatial scales.</w:t>
      </w:r>
    </w:p>
    <w:p w14:paraId="136D6912" w14:textId="61E3E932" w:rsidR="001A7E42" w:rsidRPr="001A7E42" w:rsidRDefault="001A7E42" w:rsidP="001A7E42">
      <w:r w:rsidRPr="001A7E42">
        <w:rPr>
          <w:lang w:val="en-US"/>
        </w:rPr>
        <w:t>Geologists typically think about rock compositions initially in terms of SiO</w:t>
      </w:r>
      <w:r w:rsidRPr="005A4A51">
        <w:rPr>
          <w:vertAlign w:val="subscript"/>
          <w:lang w:val="en-US"/>
        </w:rPr>
        <w:t>2</w:t>
      </w:r>
      <w:r w:rsidRPr="001A7E42">
        <w:rPr>
          <w:lang w:val="en-US"/>
        </w:rPr>
        <w:t xml:space="preserve"> content, </w:t>
      </w:r>
      <w:r w:rsidR="00A83A61">
        <w:rPr>
          <w:lang w:val="en-US"/>
        </w:rPr>
        <w:t>for example</w:t>
      </w:r>
      <w:r w:rsidRPr="001A7E42">
        <w:rPr>
          <w:lang w:val="en-US"/>
        </w:rPr>
        <w:t xml:space="preserve"> basalt, andesite, rhyolite, </w:t>
      </w:r>
      <w:r w:rsidR="00A83A61">
        <w:rPr>
          <w:lang w:val="en-US"/>
        </w:rPr>
        <w:t>and so on</w:t>
      </w:r>
      <w:r w:rsidRPr="001A7E42">
        <w:rPr>
          <w:lang w:val="en-US"/>
        </w:rPr>
        <w:t>.</w:t>
      </w:r>
      <w:r w:rsidR="00A83A61">
        <w:rPr>
          <w:lang w:val="en-US"/>
        </w:rPr>
        <w:t xml:space="preserve"> </w:t>
      </w:r>
      <w:r w:rsidR="00DA430A">
        <w:rPr>
          <w:lang w:val="en-US"/>
        </w:rPr>
        <w:t>Silicon dioxide</w:t>
      </w:r>
      <w:r w:rsidR="00DA430A" w:rsidRPr="001A7E42">
        <w:rPr>
          <w:lang w:val="en-US"/>
        </w:rPr>
        <w:t xml:space="preserve"> </w:t>
      </w:r>
      <w:r w:rsidRPr="001A7E42">
        <w:rPr>
          <w:lang w:val="en-US"/>
        </w:rPr>
        <w:t xml:space="preserve">is not reported from a </w:t>
      </w:r>
      <w:r w:rsidR="00E333DF">
        <w:rPr>
          <w:lang w:val="en-US"/>
        </w:rPr>
        <w:t>four-acid digest</w:t>
      </w:r>
      <w:r w:rsidRPr="001A7E42">
        <w:rPr>
          <w:lang w:val="en-US"/>
        </w:rPr>
        <w:t xml:space="preserve"> ICP analysis because it forms a volatile SiF</w:t>
      </w:r>
      <w:r w:rsidRPr="001A7E42">
        <w:rPr>
          <w:vertAlign w:val="subscript"/>
          <w:lang w:val="en-US"/>
        </w:rPr>
        <w:t>4</w:t>
      </w:r>
      <w:r w:rsidRPr="001A7E42">
        <w:rPr>
          <w:lang w:val="en-US"/>
        </w:rPr>
        <w:t xml:space="preserve"> complex during the </w:t>
      </w:r>
      <w:r w:rsidR="00A83A61">
        <w:rPr>
          <w:lang w:val="en-US"/>
        </w:rPr>
        <w:t xml:space="preserve">reaction with </w:t>
      </w:r>
      <w:r w:rsidR="005271EB">
        <w:rPr>
          <w:lang w:val="en-US"/>
        </w:rPr>
        <w:t>hydrofluoric acid in the digestion process</w:t>
      </w:r>
      <w:r w:rsidRPr="001A7E42">
        <w:rPr>
          <w:lang w:val="en-US"/>
        </w:rPr>
        <w:t>.</w:t>
      </w:r>
      <w:r w:rsidR="005271EB">
        <w:rPr>
          <w:lang w:val="en-US"/>
        </w:rPr>
        <w:t xml:space="preserve"> </w:t>
      </w:r>
      <w:r w:rsidR="00341490">
        <w:rPr>
          <w:lang w:val="en-US"/>
        </w:rPr>
        <w:t xml:space="preserve">Other major elements like K and Na, traditionally used in petrology to characterize rocks, are very mobile during hydrothermal alteration and weathering processes and are therefore not useful to </w:t>
      </w:r>
      <w:r w:rsidR="00E333DF">
        <w:rPr>
          <w:lang w:val="en-US"/>
        </w:rPr>
        <w:t>characterize</w:t>
      </w:r>
      <w:r w:rsidR="00341490">
        <w:rPr>
          <w:lang w:val="en-US"/>
        </w:rPr>
        <w:t xml:space="preserve"> the rock composition. </w:t>
      </w:r>
      <w:r w:rsidRPr="001A7E42">
        <w:rPr>
          <w:lang w:val="en-US"/>
        </w:rPr>
        <w:t xml:space="preserve">Rather than plotting elements against Si to make a first-pass subdivision of compositions, </w:t>
      </w:r>
      <w:r w:rsidR="005271EB">
        <w:rPr>
          <w:lang w:val="en-US"/>
        </w:rPr>
        <w:t xml:space="preserve">it is recommended that scandium is </w:t>
      </w:r>
      <w:r w:rsidRPr="001A7E42">
        <w:rPr>
          <w:lang w:val="en-US"/>
        </w:rPr>
        <w:t>used instead. Sc is highly correlated with the silicate-hosted component of Fe</w:t>
      </w:r>
      <w:r w:rsidR="005271EB">
        <w:rPr>
          <w:lang w:val="en-US"/>
        </w:rPr>
        <w:t xml:space="preserve"> and </w:t>
      </w:r>
      <w:r w:rsidRPr="001A7E42">
        <w:rPr>
          <w:lang w:val="en-US"/>
        </w:rPr>
        <w:t>is hosted in Fe-Mg minerals such as pyroxenes and amphibole. It always has a valency of 3</w:t>
      </w:r>
      <w:r w:rsidR="005271EB" w:rsidRPr="005271EB">
        <w:rPr>
          <w:vertAlign w:val="superscript"/>
          <w:lang w:val="en-US"/>
        </w:rPr>
        <w:t>+</w:t>
      </w:r>
      <w:r w:rsidR="005271EB" w:rsidRPr="001A7E42">
        <w:rPr>
          <w:lang w:val="en-US"/>
        </w:rPr>
        <w:t xml:space="preserve"> and</w:t>
      </w:r>
      <w:r w:rsidRPr="001A7E42">
        <w:rPr>
          <w:lang w:val="en-US"/>
        </w:rPr>
        <w:t xml:space="preserve"> is immobile in most environments</w:t>
      </w:r>
      <w:r w:rsidR="00135D50">
        <w:rPr>
          <w:lang w:val="en-US"/>
        </w:rPr>
        <w:t xml:space="preserve"> </w:t>
      </w:r>
      <w:r w:rsidR="00135D50" w:rsidRPr="00C526D7">
        <w:rPr>
          <w:rFonts w:cstheme="minorHAnsi"/>
          <w:lang w:val="en-US"/>
        </w:rPr>
        <w:t>(</w:t>
      </w:r>
      <w:r w:rsidR="00135D50" w:rsidRPr="00C526D7">
        <w:rPr>
          <w:rFonts w:cstheme="minorHAnsi"/>
          <w:color w:val="222222"/>
        </w:rPr>
        <w:t xml:space="preserve">Williams-Jones and </w:t>
      </w:r>
      <w:proofErr w:type="spellStart"/>
      <w:r w:rsidR="00135D50" w:rsidRPr="00C526D7">
        <w:rPr>
          <w:rFonts w:cstheme="minorHAnsi"/>
          <w:color w:val="222222"/>
        </w:rPr>
        <w:t>Vasyukova</w:t>
      </w:r>
      <w:proofErr w:type="spellEnd"/>
      <w:r w:rsidR="00135D50" w:rsidRPr="00C526D7">
        <w:rPr>
          <w:rFonts w:cstheme="minorHAnsi"/>
          <w:color w:val="222222"/>
        </w:rPr>
        <w:t>, 2018).</w:t>
      </w:r>
    </w:p>
    <w:p w14:paraId="32A66892" w14:textId="2A3E0B5D" w:rsidR="001A7E42" w:rsidRPr="001A7E42" w:rsidRDefault="001A7E42" w:rsidP="001A7E42">
      <w:r w:rsidRPr="001A7E42">
        <w:rPr>
          <w:lang w:val="en-US"/>
        </w:rPr>
        <w:t xml:space="preserve">The elements that are </w:t>
      </w:r>
      <w:r w:rsidR="005271EB" w:rsidRPr="001A7E42">
        <w:rPr>
          <w:lang w:val="en-US"/>
        </w:rPr>
        <w:t>least mobile</w:t>
      </w:r>
      <w:r w:rsidRPr="001A7E42">
        <w:rPr>
          <w:lang w:val="en-US"/>
        </w:rPr>
        <w:t xml:space="preserve"> in hydrothermal environments are </w:t>
      </w:r>
      <w:r w:rsidR="00457710">
        <w:rPr>
          <w:lang w:val="en-US"/>
        </w:rPr>
        <w:t>high-field strength elements (HFSE)</w:t>
      </w:r>
      <w:r w:rsidR="00457710" w:rsidRPr="001A7E42">
        <w:rPr>
          <w:lang w:val="en-US"/>
        </w:rPr>
        <w:t xml:space="preserve"> </w:t>
      </w:r>
      <w:r w:rsidRPr="001A7E42">
        <w:rPr>
          <w:lang w:val="en-US"/>
        </w:rPr>
        <w:t>that have a valency of 3</w:t>
      </w:r>
      <w:r w:rsidRPr="00341490">
        <w:rPr>
          <w:vertAlign w:val="superscript"/>
          <w:lang w:val="en-US"/>
        </w:rPr>
        <w:t>+</w:t>
      </w:r>
      <w:r w:rsidRPr="001A7E42">
        <w:rPr>
          <w:lang w:val="en-US"/>
        </w:rPr>
        <w:t xml:space="preserve"> or 4</w:t>
      </w:r>
      <w:r w:rsidRPr="00341490">
        <w:rPr>
          <w:vertAlign w:val="superscript"/>
          <w:lang w:val="en-US"/>
        </w:rPr>
        <w:t>+</w:t>
      </w:r>
      <w:r w:rsidRPr="001A7E42">
        <w:rPr>
          <w:lang w:val="en-US"/>
        </w:rPr>
        <w:t xml:space="preserve">. Of the elements that are routinely </w:t>
      </w:r>
      <w:r w:rsidR="00A23ED5" w:rsidRPr="001A7E42">
        <w:rPr>
          <w:lang w:val="en-US"/>
        </w:rPr>
        <w:t>analyzed</w:t>
      </w:r>
      <w:r w:rsidRPr="001A7E42">
        <w:rPr>
          <w:lang w:val="en-US"/>
        </w:rPr>
        <w:t xml:space="preserve"> with a </w:t>
      </w:r>
      <w:r w:rsidR="00E333DF">
        <w:rPr>
          <w:lang w:val="en-US"/>
        </w:rPr>
        <w:t>four-acid digest</w:t>
      </w:r>
      <w:r w:rsidRPr="001A7E42">
        <w:rPr>
          <w:lang w:val="en-US"/>
        </w:rPr>
        <w:t xml:space="preserve"> ICP-MS/AES package, th</w:t>
      </w:r>
      <w:r w:rsidR="005271EB">
        <w:rPr>
          <w:lang w:val="en-US"/>
        </w:rPr>
        <w:t xml:space="preserve">e </w:t>
      </w:r>
      <w:r w:rsidR="00341490">
        <w:rPr>
          <w:lang w:val="en-US"/>
        </w:rPr>
        <w:t>3</w:t>
      </w:r>
      <w:r w:rsidR="00341490" w:rsidRPr="00341490">
        <w:rPr>
          <w:vertAlign w:val="superscript"/>
          <w:lang w:val="en-US"/>
        </w:rPr>
        <w:t>+</w:t>
      </w:r>
      <w:r w:rsidR="005271EB">
        <w:rPr>
          <w:lang w:val="en-US"/>
        </w:rPr>
        <w:t xml:space="preserve"> and 4</w:t>
      </w:r>
      <w:r w:rsidR="005271EB" w:rsidRPr="00341490">
        <w:rPr>
          <w:vertAlign w:val="superscript"/>
          <w:lang w:val="en-US"/>
        </w:rPr>
        <w:t>+</w:t>
      </w:r>
      <w:r w:rsidR="005271EB">
        <w:rPr>
          <w:lang w:val="en-US"/>
        </w:rPr>
        <w:t xml:space="preserve"> suite</w:t>
      </w:r>
      <w:r w:rsidRPr="001A7E42">
        <w:rPr>
          <w:lang w:val="en-US"/>
        </w:rPr>
        <w:t xml:space="preserve"> includes Sc, Al, P, </w:t>
      </w:r>
      <w:proofErr w:type="spellStart"/>
      <w:r w:rsidRPr="001A7E42">
        <w:rPr>
          <w:lang w:val="en-US"/>
        </w:rPr>
        <w:t>Ti</w:t>
      </w:r>
      <w:proofErr w:type="spellEnd"/>
      <w:r w:rsidRPr="001A7E42">
        <w:rPr>
          <w:lang w:val="en-US"/>
        </w:rPr>
        <w:t xml:space="preserve">, V, Cr, Y, </w:t>
      </w:r>
      <w:proofErr w:type="spellStart"/>
      <w:r w:rsidRPr="001A7E42">
        <w:rPr>
          <w:lang w:val="en-US"/>
        </w:rPr>
        <w:t>Zr</w:t>
      </w:r>
      <w:proofErr w:type="spellEnd"/>
      <w:r w:rsidRPr="001A7E42">
        <w:rPr>
          <w:lang w:val="en-US"/>
        </w:rPr>
        <w:t xml:space="preserve">, </w:t>
      </w:r>
      <w:proofErr w:type="spellStart"/>
      <w:r w:rsidRPr="001A7E42">
        <w:rPr>
          <w:lang w:val="en-US"/>
        </w:rPr>
        <w:t>Nb</w:t>
      </w:r>
      <w:proofErr w:type="spellEnd"/>
      <w:r w:rsidRPr="001A7E42">
        <w:rPr>
          <w:lang w:val="en-US"/>
        </w:rPr>
        <w:t>, La and Th.</w:t>
      </w:r>
    </w:p>
    <w:p w14:paraId="15248E62" w14:textId="3AF1008C" w:rsidR="001A7E42" w:rsidRDefault="00642797" w:rsidP="001A7E42">
      <w:pPr>
        <w:rPr>
          <w:lang w:val="en-US"/>
        </w:rPr>
      </w:pPr>
      <w:r>
        <w:rPr>
          <w:lang w:val="en-US"/>
        </w:rPr>
        <w:t>Most</w:t>
      </w:r>
      <w:r w:rsidR="001A7E42" w:rsidRPr="001A7E42">
        <w:rPr>
          <w:lang w:val="en-US"/>
        </w:rPr>
        <w:t xml:space="preserve"> of the first-row transition metals</w:t>
      </w:r>
      <w:r>
        <w:rPr>
          <w:lang w:val="en-US"/>
        </w:rPr>
        <w:t xml:space="preserve"> including</w:t>
      </w:r>
      <w:r w:rsidR="00FC4EF8">
        <w:rPr>
          <w:lang w:val="en-US"/>
        </w:rPr>
        <w:t xml:space="preserve"> </w:t>
      </w:r>
      <w:r w:rsidR="001A7E42" w:rsidRPr="001A7E42">
        <w:rPr>
          <w:lang w:val="en-US"/>
        </w:rPr>
        <w:t>Sc, V, Mn, Fe, Co, Ni, Cu and Zn have very similar chemical properties</w:t>
      </w:r>
      <w:r w:rsidR="00FC4EF8">
        <w:rPr>
          <w:lang w:val="en-US"/>
        </w:rPr>
        <w:t>. I</w:t>
      </w:r>
      <w:r w:rsidR="001A7E42" w:rsidRPr="001A7E42">
        <w:rPr>
          <w:lang w:val="en-US"/>
        </w:rPr>
        <w:t xml:space="preserve">n unaltered rocks </w:t>
      </w:r>
      <w:r w:rsidR="00B3014C">
        <w:rPr>
          <w:lang w:val="en-US"/>
        </w:rPr>
        <w:t xml:space="preserve">the first transition row metals normally plot with a linear relationship against Sc. </w:t>
      </w:r>
      <w:r w:rsidR="001A7E42" w:rsidRPr="001A7E42">
        <w:rPr>
          <w:lang w:val="en-US"/>
        </w:rPr>
        <w:t xml:space="preserve">Sc is usually the </w:t>
      </w:r>
      <w:r w:rsidR="00FC4EF8" w:rsidRPr="001A7E42">
        <w:rPr>
          <w:lang w:val="en-US"/>
        </w:rPr>
        <w:t>least mobile</w:t>
      </w:r>
      <w:r w:rsidR="001A7E42" w:rsidRPr="001A7E42">
        <w:rPr>
          <w:lang w:val="en-US"/>
        </w:rPr>
        <w:t>.</w:t>
      </w:r>
      <w:r w:rsidR="00FC4EF8">
        <w:rPr>
          <w:lang w:val="en-US"/>
        </w:rPr>
        <w:t xml:space="preserve"> </w:t>
      </w:r>
      <w:r w:rsidR="00B3014C">
        <w:rPr>
          <w:lang w:val="en-US"/>
        </w:rPr>
        <w:t>A departure from those linear trends can act as a proxy for</w:t>
      </w:r>
      <w:r w:rsidR="00B3014C" w:rsidRPr="001A7E42">
        <w:rPr>
          <w:lang w:val="en-US"/>
        </w:rPr>
        <w:t xml:space="preserve"> tracking fractionation of opaque oxide minerals, tracking S saturation in melts, or mapping leaching of metals</w:t>
      </w:r>
      <w:r w:rsidR="00B3014C">
        <w:rPr>
          <w:lang w:val="en-US"/>
        </w:rPr>
        <w:t xml:space="preserve"> during hydrothermal alteration</w:t>
      </w:r>
      <w:r w:rsidR="00B3014C" w:rsidRPr="001A7E42">
        <w:rPr>
          <w:lang w:val="en-US"/>
        </w:rPr>
        <w:t>.</w:t>
      </w:r>
      <w:r w:rsidR="00B3014C">
        <w:rPr>
          <w:lang w:val="en-US"/>
        </w:rPr>
        <w:t xml:space="preserve"> </w:t>
      </w:r>
      <w:r w:rsidR="001A7E42" w:rsidRPr="001A7E42">
        <w:rPr>
          <w:lang w:val="en-US"/>
        </w:rPr>
        <w:t>Some of the</w:t>
      </w:r>
      <w:r w:rsidR="00FC4EF8">
        <w:rPr>
          <w:lang w:val="en-US"/>
        </w:rPr>
        <w:t xml:space="preserve"> metals</w:t>
      </w:r>
      <w:r w:rsidR="00B3014C">
        <w:rPr>
          <w:lang w:val="en-US"/>
        </w:rPr>
        <w:t>,</w:t>
      </w:r>
      <w:r w:rsidR="00FC4EF8">
        <w:rPr>
          <w:lang w:val="en-US"/>
        </w:rPr>
        <w:t xml:space="preserve"> </w:t>
      </w:r>
      <w:r w:rsidR="00B3014C">
        <w:rPr>
          <w:lang w:val="en-US"/>
        </w:rPr>
        <w:t>most notably vanadium</w:t>
      </w:r>
      <w:r w:rsidR="00BA7CA9">
        <w:rPr>
          <w:lang w:val="en-US"/>
        </w:rPr>
        <w:t>,</w:t>
      </w:r>
      <w:r w:rsidR="00B3014C">
        <w:rPr>
          <w:lang w:val="en-US"/>
        </w:rPr>
        <w:t xml:space="preserve"> </w:t>
      </w:r>
      <w:r w:rsidR="00FC4EF8">
        <w:rPr>
          <w:lang w:val="en-US"/>
        </w:rPr>
        <w:t xml:space="preserve">have multiple </w:t>
      </w:r>
      <w:proofErr w:type="spellStart"/>
      <w:r w:rsidR="00FC4EF8">
        <w:rPr>
          <w:lang w:val="en-US"/>
        </w:rPr>
        <w:t>valencies</w:t>
      </w:r>
      <w:proofErr w:type="spellEnd"/>
      <w:r w:rsidR="00FC4EF8">
        <w:rPr>
          <w:lang w:val="en-US"/>
        </w:rPr>
        <w:t xml:space="preserve"> and </w:t>
      </w:r>
      <w:r w:rsidR="001A7E42" w:rsidRPr="001A7E42">
        <w:rPr>
          <w:lang w:val="en-US"/>
        </w:rPr>
        <w:t>are redox sensitive.</w:t>
      </w:r>
      <w:r w:rsidR="00FC4EF8">
        <w:rPr>
          <w:lang w:val="en-US"/>
        </w:rPr>
        <w:t xml:space="preserve"> While scandium is </w:t>
      </w:r>
      <w:r w:rsidR="00457710">
        <w:rPr>
          <w:lang w:val="en-US"/>
        </w:rPr>
        <w:t xml:space="preserve">typically </w:t>
      </w:r>
      <w:r w:rsidR="00FC4EF8">
        <w:rPr>
          <w:lang w:val="en-US"/>
        </w:rPr>
        <w:t xml:space="preserve">hosted </w:t>
      </w:r>
      <w:r w:rsidR="00457710">
        <w:rPr>
          <w:lang w:val="en-US"/>
        </w:rPr>
        <w:t xml:space="preserve">only </w:t>
      </w:r>
      <w:r w:rsidR="00FC4EF8">
        <w:rPr>
          <w:lang w:val="en-US"/>
        </w:rPr>
        <w:t>in silicate</w:t>
      </w:r>
      <w:r w:rsidR="00457710">
        <w:rPr>
          <w:lang w:val="en-US"/>
        </w:rPr>
        <w:t xml:space="preserve"> minerals</w:t>
      </w:r>
      <w:r w:rsidR="00FC4EF8">
        <w:rPr>
          <w:lang w:val="en-US"/>
        </w:rPr>
        <w:t>, some of the metals</w:t>
      </w:r>
      <w:r w:rsidR="001A7E42" w:rsidRPr="001A7E42">
        <w:rPr>
          <w:lang w:val="en-US"/>
        </w:rPr>
        <w:t xml:space="preserve"> substitute into </w:t>
      </w:r>
      <w:proofErr w:type="spellStart"/>
      <w:r w:rsidR="00135D50">
        <w:rPr>
          <w:lang w:val="en-US"/>
        </w:rPr>
        <w:t>spinels</w:t>
      </w:r>
      <w:proofErr w:type="spellEnd"/>
      <w:r w:rsidR="001A7E42" w:rsidRPr="001A7E42">
        <w:rPr>
          <w:lang w:val="en-US"/>
        </w:rPr>
        <w:t xml:space="preserve"> </w:t>
      </w:r>
      <w:r w:rsidR="00B3014C">
        <w:rPr>
          <w:lang w:val="en-US"/>
        </w:rPr>
        <w:t xml:space="preserve">and primary oxides </w:t>
      </w:r>
      <w:r w:rsidR="001A7E42" w:rsidRPr="001A7E42">
        <w:rPr>
          <w:lang w:val="en-US"/>
        </w:rPr>
        <w:t xml:space="preserve">as well as silicates. </w:t>
      </w:r>
      <w:r w:rsidR="00B3014C">
        <w:rPr>
          <w:lang w:val="en-US"/>
        </w:rPr>
        <w:t>Mn and Zn are the most soluble of the transition metals. Plotting these against Sc highlights areas of metal leaching during hydrothermal alteration, or metal enrichment in chlorite for example in a green rock environment</w:t>
      </w:r>
      <w:r w:rsidR="00B5620F">
        <w:rPr>
          <w:lang w:val="en-US"/>
        </w:rPr>
        <w:t xml:space="preserve"> (Wilkinson et al., 2015)</w:t>
      </w:r>
      <w:r w:rsidR="00B3014C">
        <w:rPr>
          <w:lang w:val="en-US"/>
        </w:rPr>
        <w:t xml:space="preserve">. </w:t>
      </w:r>
      <w:r w:rsidR="001A7E42" w:rsidRPr="001A7E42">
        <w:rPr>
          <w:lang w:val="en-US"/>
        </w:rPr>
        <w:t>Some of these metals are sequestered by immiscible magmatic sulfides</w:t>
      </w:r>
      <w:r w:rsidR="00FC4EF8">
        <w:rPr>
          <w:lang w:val="en-US"/>
        </w:rPr>
        <w:t>, particularly Ni and Cu</w:t>
      </w:r>
      <w:r w:rsidR="001A7E42" w:rsidRPr="001A7E42">
        <w:rPr>
          <w:lang w:val="en-US"/>
        </w:rPr>
        <w:t xml:space="preserve">. </w:t>
      </w:r>
    </w:p>
    <w:p w14:paraId="18BB28F6" w14:textId="77777777" w:rsidR="002B0960" w:rsidRDefault="002B0960" w:rsidP="002B0960">
      <w:pPr>
        <w:rPr>
          <w:lang w:val="en-US"/>
        </w:rPr>
      </w:pPr>
      <w:r>
        <w:rPr>
          <w:lang w:val="en-US"/>
        </w:rPr>
        <w:lastRenderedPageBreak/>
        <w:t xml:space="preserve">Chemistry identifies compositions of rocks but does not distinguish rock types. For example, a single magmatic event could produce intrusive rocks, lava, volcaniclastics and </w:t>
      </w:r>
      <w:proofErr w:type="spellStart"/>
      <w:r>
        <w:rPr>
          <w:lang w:val="en-US"/>
        </w:rPr>
        <w:t>epiclastics</w:t>
      </w:r>
      <w:proofErr w:type="spellEnd"/>
      <w:r>
        <w:rPr>
          <w:lang w:val="en-US"/>
        </w:rPr>
        <w:t xml:space="preserve">, all with the same composition, but obviously in different emplacement environments.  Logging information should be added to assay tables so that geological information can be integrated with the geochemical interpretation. </w:t>
      </w:r>
    </w:p>
    <w:p w14:paraId="1328F2EE" w14:textId="144ECC23" w:rsidR="002E60A4" w:rsidRPr="001A7E42" w:rsidRDefault="002E60A4" w:rsidP="002E60A4">
      <w:r>
        <w:rPr>
          <w:lang w:val="en-US"/>
        </w:rPr>
        <w:t xml:space="preserve">A recommended starting point is to plot </w:t>
      </w:r>
      <w:r w:rsidRPr="001A7E42">
        <w:rPr>
          <w:lang w:val="en-US"/>
        </w:rPr>
        <w:t xml:space="preserve">Sc versus </w:t>
      </w:r>
      <w:proofErr w:type="spellStart"/>
      <w:r w:rsidRPr="001A7E42">
        <w:rPr>
          <w:lang w:val="en-US"/>
        </w:rPr>
        <w:t>Nb</w:t>
      </w:r>
      <w:proofErr w:type="spellEnd"/>
      <w:r w:rsidRPr="001A7E42">
        <w:rPr>
          <w:lang w:val="en-US"/>
        </w:rPr>
        <w:t xml:space="preserve">, P, Th, </w:t>
      </w:r>
      <w:proofErr w:type="spellStart"/>
      <w:r w:rsidRPr="001A7E42">
        <w:rPr>
          <w:lang w:val="en-US"/>
        </w:rPr>
        <w:t>Ti</w:t>
      </w:r>
      <w:proofErr w:type="spellEnd"/>
      <w:r w:rsidRPr="001A7E42">
        <w:rPr>
          <w:lang w:val="en-US"/>
        </w:rPr>
        <w:t>, V</w:t>
      </w:r>
      <w:r w:rsidR="00F56E22">
        <w:rPr>
          <w:lang w:val="en-US"/>
        </w:rPr>
        <w:t xml:space="preserve"> and</w:t>
      </w:r>
      <w:r w:rsidRPr="001A7E42">
        <w:rPr>
          <w:lang w:val="en-US"/>
        </w:rPr>
        <w:t xml:space="preserve"> </w:t>
      </w:r>
      <w:proofErr w:type="spellStart"/>
      <w:r w:rsidRPr="001A7E42">
        <w:rPr>
          <w:lang w:val="en-US"/>
        </w:rPr>
        <w:t>Zr</w:t>
      </w:r>
      <w:proofErr w:type="spellEnd"/>
      <w:r w:rsidR="00211EBB">
        <w:rPr>
          <w:lang w:val="en-US"/>
        </w:rPr>
        <w:t xml:space="preserve"> (fig 1)</w:t>
      </w:r>
      <w:r w:rsidRPr="001A7E42">
        <w:rPr>
          <w:lang w:val="en-US"/>
        </w:rPr>
        <w:t xml:space="preserve">. </w:t>
      </w:r>
      <w:r w:rsidR="00557294">
        <w:rPr>
          <w:lang w:val="en-US"/>
        </w:rPr>
        <w:t xml:space="preserve">The spread from high Sc </w:t>
      </w:r>
      <w:r w:rsidR="00457710">
        <w:rPr>
          <w:lang w:val="en-US"/>
        </w:rPr>
        <w:t xml:space="preserve">(corresponding to high Fe rocks) </w:t>
      </w:r>
      <w:r w:rsidR="00557294">
        <w:rPr>
          <w:lang w:val="en-US"/>
        </w:rPr>
        <w:t xml:space="preserve">to low Sc </w:t>
      </w:r>
      <w:r w:rsidR="00457710">
        <w:rPr>
          <w:lang w:val="en-US"/>
        </w:rPr>
        <w:t xml:space="preserve">(corresponding to low Fe rocks) </w:t>
      </w:r>
      <w:r w:rsidR="00557294">
        <w:rPr>
          <w:lang w:val="en-US"/>
        </w:rPr>
        <w:t xml:space="preserve">maps compositional ranges from mafic to felsic. </w:t>
      </w:r>
      <w:r w:rsidR="00642797">
        <w:rPr>
          <w:lang w:val="en-US"/>
        </w:rPr>
        <w:t>A</w:t>
      </w:r>
      <w:r w:rsidRPr="001A7E42">
        <w:rPr>
          <w:lang w:val="en-US"/>
        </w:rPr>
        <w:t xml:space="preserve"> point density contour overlay </w:t>
      </w:r>
      <w:r w:rsidR="00642797">
        <w:rPr>
          <w:lang w:val="en-US"/>
        </w:rPr>
        <w:t>will</w:t>
      </w:r>
      <w:r w:rsidRPr="001A7E42">
        <w:rPr>
          <w:lang w:val="en-US"/>
        </w:rPr>
        <w:t xml:space="preserve"> highlight the compositional groups in the data.</w:t>
      </w:r>
      <w:r w:rsidR="00557294">
        <w:rPr>
          <w:lang w:val="en-US"/>
        </w:rPr>
        <w:t xml:space="preserve"> Each cluster in the data can be assigned a </w:t>
      </w:r>
      <w:r w:rsidR="00E333DF">
        <w:rPr>
          <w:lang w:val="en-US"/>
        </w:rPr>
        <w:t>color</w:t>
      </w:r>
      <w:r w:rsidR="00557294">
        <w:rPr>
          <w:lang w:val="en-US"/>
        </w:rPr>
        <w:t xml:space="preserve"> shape or size attribute and displayed in 2D maps or 3D models. The point density contours </w:t>
      </w:r>
      <w:r w:rsidR="00642797">
        <w:rPr>
          <w:lang w:val="en-US"/>
        </w:rPr>
        <w:t xml:space="preserve">usually </w:t>
      </w:r>
      <w:r w:rsidR="00557294">
        <w:rPr>
          <w:lang w:val="en-US"/>
        </w:rPr>
        <w:t xml:space="preserve">show quite distinct groupings for most of the data, but there is some ambiguity where the clusters overlap. </w:t>
      </w:r>
      <w:r w:rsidR="009921F1">
        <w:t>in order to check groupings, the data should be plotted spatially to check for sensible geological groupings such as clusters down drill holes or patterns in map view.</w:t>
      </w:r>
    </w:p>
    <w:p w14:paraId="2685974A" w14:textId="13D4884E" w:rsidR="000242FC" w:rsidRDefault="00557294" w:rsidP="000242FC">
      <w:pPr>
        <w:rPr>
          <w:lang w:val="en-US"/>
        </w:rPr>
      </w:pPr>
      <w:r>
        <w:rPr>
          <w:lang w:val="en-US"/>
        </w:rPr>
        <w:t xml:space="preserve">The second recommended step is to plot the same list of </w:t>
      </w:r>
      <w:r w:rsidR="00197148">
        <w:rPr>
          <w:lang w:val="en-US"/>
        </w:rPr>
        <w:t>elements but</w:t>
      </w:r>
      <w:r>
        <w:rPr>
          <w:lang w:val="en-US"/>
        </w:rPr>
        <w:t xml:space="preserve"> put </w:t>
      </w:r>
      <w:proofErr w:type="spellStart"/>
      <w:r>
        <w:rPr>
          <w:lang w:val="en-US"/>
        </w:rPr>
        <w:t>Ti</w:t>
      </w:r>
      <w:proofErr w:type="spellEnd"/>
      <w:r>
        <w:rPr>
          <w:lang w:val="en-US"/>
        </w:rPr>
        <w:t xml:space="preserve"> first</w:t>
      </w:r>
      <w:r w:rsidR="00F56E22">
        <w:rPr>
          <w:lang w:val="en-US"/>
        </w:rPr>
        <w:t xml:space="preserve">; that is plot </w:t>
      </w:r>
      <w:proofErr w:type="spellStart"/>
      <w:r w:rsidR="00F56E22" w:rsidRPr="001A7E42">
        <w:rPr>
          <w:lang w:val="en-US"/>
        </w:rPr>
        <w:t>Ti</w:t>
      </w:r>
      <w:proofErr w:type="spellEnd"/>
      <w:r w:rsidR="00F56E22" w:rsidRPr="001A7E42">
        <w:rPr>
          <w:lang w:val="en-US"/>
        </w:rPr>
        <w:t xml:space="preserve"> versus Sc, </w:t>
      </w:r>
      <w:proofErr w:type="spellStart"/>
      <w:r w:rsidR="00F56E22" w:rsidRPr="001A7E42">
        <w:rPr>
          <w:lang w:val="en-US"/>
        </w:rPr>
        <w:t>Nb</w:t>
      </w:r>
      <w:proofErr w:type="spellEnd"/>
      <w:r w:rsidR="00F56E22" w:rsidRPr="001A7E42">
        <w:rPr>
          <w:lang w:val="en-US"/>
        </w:rPr>
        <w:t>, P, Th, V</w:t>
      </w:r>
      <w:r w:rsidR="00F56E22">
        <w:rPr>
          <w:lang w:val="en-US"/>
        </w:rPr>
        <w:t xml:space="preserve"> and</w:t>
      </w:r>
      <w:r w:rsidR="00F56E22" w:rsidRPr="001A7E42">
        <w:rPr>
          <w:lang w:val="en-US"/>
        </w:rPr>
        <w:t xml:space="preserve"> </w:t>
      </w:r>
      <w:proofErr w:type="spellStart"/>
      <w:r w:rsidR="00F56E22" w:rsidRPr="001A7E42">
        <w:rPr>
          <w:lang w:val="en-US"/>
        </w:rPr>
        <w:t>Zr</w:t>
      </w:r>
      <w:proofErr w:type="spellEnd"/>
      <w:r w:rsidR="00F56E22" w:rsidRPr="001A7E42">
        <w:rPr>
          <w:lang w:val="en-US"/>
        </w:rPr>
        <w:t>.</w:t>
      </w:r>
      <w:r w:rsidR="004E06BC">
        <w:rPr>
          <w:lang w:val="en-US"/>
        </w:rPr>
        <w:t xml:space="preserve"> </w:t>
      </w:r>
      <w:proofErr w:type="spellStart"/>
      <w:r w:rsidR="004E06BC">
        <w:rPr>
          <w:lang w:val="en-US"/>
        </w:rPr>
        <w:t>Ti</w:t>
      </w:r>
      <w:proofErr w:type="spellEnd"/>
      <w:r w:rsidR="004E06BC">
        <w:rPr>
          <w:lang w:val="en-US"/>
        </w:rPr>
        <w:t xml:space="preserve"> is a compatible element and </w:t>
      </w:r>
      <w:proofErr w:type="spellStart"/>
      <w:r w:rsidR="004E06BC">
        <w:rPr>
          <w:lang w:val="en-US"/>
        </w:rPr>
        <w:t>Ti</w:t>
      </w:r>
      <w:proofErr w:type="spellEnd"/>
      <w:r w:rsidR="004E06BC">
        <w:rPr>
          <w:lang w:val="en-US"/>
        </w:rPr>
        <w:t xml:space="preserve"> minerals tend to crystallize early in a crystallization </w:t>
      </w:r>
      <w:r w:rsidR="00197148">
        <w:rPr>
          <w:lang w:val="en-US"/>
        </w:rPr>
        <w:t xml:space="preserve">sequence, whereas </w:t>
      </w:r>
      <w:proofErr w:type="spellStart"/>
      <w:r w:rsidR="00197148">
        <w:rPr>
          <w:lang w:val="en-US"/>
        </w:rPr>
        <w:t>Zr</w:t>
      </w:r>
      <w:proofErr w:type="spellEnd"/>
      <w:r w:rsidR="00197148">
        <w:rPr>
          <w:lang w:val="en-US"/>
        </w:rPr>
        <w:t xml:space="preserve">, </w:t>
      </w:r>
      <w:proofErr w:type="spellStart"/>
      <w:r w:rsidR="00197148">
        <w:rPr>
          <w:lang w:val="en-US"/>
        </w:rPr>
        <w:t>Nb</w:t>
      </w:r>
      <w:proofErr w:type="spellEnd"/>
      <w:r w:rsidR="00197148">
        <w:rPr>
          <w:lang w:val="en-US"/>
        </w:rPr>
        <w:t xml:space="preserve"> and Th are incompatible and stay in the melt until late in the sequence. </w:t>
      </w:r>
      <w:r w:rsidR="00642797">
        <w:rPr>
          <w:lang w:val="en-US"/>
        </w:rPr>
        <w:t xml:space="preserve">Compositional clusters that are defined </w:t>
      </w:r>
      <w:r w:rsidR="00197148">
        <w:rPr>
          <w:lang w:val="en-US"/>
        </w:rPr>
        <w:t>within one x-y</w:t>
      </w:r>
      <w:r w:rsidR="00E87035">
        <w:rPr>
          <w:lang w:val="en-US"/>
        </w:rPr>
        <w:t xml:space="preserve"> bivariate</w:t>
      </w:r>
      <w:r w:rsidR="00197148">
        <w:rPr>
          <w:lang w:val="en-US"/>
        </w:rPr>
        <w:t xml:space="preserve"> plot</w:t>
      </w:r>
      <w:r w:rsidR="00035633">
        <w:rPr>
          <w:lang w:val="en-US"/>
        </w:rPr>
        <w:t xml:space="preserve"> </w:t>
      </w:r>
      <w:r w:rsidR="00197148">
        <w:rPr>
          <w:lang w:val="en-US"/>
        </w:rPr>
        <w:t>should remain as distinct cluster</w:t>
      </w:r>
      <w:r w:rsidR="00035633">
        <w:rPr>
          <w:lang w:val="en-US"/>
        </w:rPr>
        <w:t>s</w:t>
      </w:r>
      <w:r w:rsidR="00197148">
        <w:rPr>
          <w:lang w:val="en-US"/>
        </w:rPr>
        <w:t xml:space="preserve"> in every other plot. </w:t>
      </w:r>
      <w:r w:rsidR="00E333DF">
        <w:rPr>
          <w:lang w:val="en-US"/>
        </w:rPr>
        <w:t xml:space="preserve">Making a series of plots like this allows the data to be viewed from many different perspectives, relate each plot to petrologic process, and refine the grouping in a way that there is geologic sense in all the data interrogations. </w:t>
      </w:r>
      <w:r w:rsidR="00197148">
        <w:rPr>
          <w:lang w:val="en-US"/>
        </w:rPr>
        <w:t xml:space="preserve"> </w:t>
      </w:r>
      <w:r w:rsidR="000242FC">
        <w:rPr>
          <w:lang w:val="en-US"/>
        </w:rPr>
        <w:t>T</w:t>
      </w:r>
      <w:r w:rsidR="00E333DF">
        <w:rPr>
          <w:lang w:val="en-US"/>
        </w:rPr>
        <w:t xml:space="preserve">he advantage of doing it this way is that the user has a more explicit view of which elements define </w:t>
      </w:r>
      <w:r w:rsidR="000242FC">
        <w:rPr>
          <w:lang w:val="en-US"/>
        </w:rPr>
        <w:t>the</w:t>
      </w:r>
      <w:r w:rsidR="000242FC">
        <w:rPr>
          <w:lang w:val="en-US"/>
        </w:rPr>
        <w:t xml:space="preserve"> </w:t>
      </w:r>
      <w:r w:rsidR="00E333DF">
        <w:rPr>
          <w:lang w:val="en-US"/>
        </w:rPr>
        <w:t>groups and which petrologic processes may be needed to produce the compositional diversity.</w:t>
      </w:r>
      <w:r w:rsidR="000242FC">
        <w:rPr>
          <w:lang w:val="en-US"/>
        </w:rPr>
        <w:t xml:space="preserve"> </w:t>
      </w:r>
      <w:r w:rsidR="00F72D47">
        <w:rPr>
          <w:lang w:val="en-US"/>
        </w:rPr>
        <w:t>Statistical</w:t>
      </w:r>
      <w:r w:rsidR="000242FC" w:rsidRPr="005C7E24">
        <w:rPr>
          <w:lang w:val="en-US"/>
        </w:rPr>
        <w:t xml:space="preserve"> methods of geochemical data analysis such as principal component analysis, center</w:t>
      </w:r>
      <w:r w:rsidR="000242FC">
        <w:rPr>
          <w:lang w:val="en-US"/>
        </w:rPr>
        <w:t>ed</w:t>
      </w:r>
      <w:r w:rsidR="000242FC" w:rsidRPr="005C7E24">
        <w:rPr>
          <w:lang w:val="en-US"/>
        </w:rPr>
        <w:t xml:space="preserve"> log ratio or other techniques </w:t>
      </w:r>
      <w:r w:rsidR="00F72D47">
        <w:rPr>
          <w:lang w:val="en-US"/>
        </w:rPr>
        <w:t>might</w:t>
      </w:r>
      <w:r w:rsidR="000242FC" w:rsidRPr="005C7E24">
        <w:rPr>
          <w:lang w:val="en-US"/>
        </w:rPr>
        <w:t xml:space="preserve"> simplify the work</w:t>
      </w:r>
      <w:r w:rsidR="000242FC">
        <w:rPr>
          <w:lang w:val="en-US"/>
        </w:rPr>
        <w:t>flow</w:t>
      </w:r>
      <w:r w:rsidR="000242FC" w:rsidRPr="005C7E24">
        <w:rPr>
          <w:lang w:val="en-US"/>
        </w:rPr>
        <w:t xml:space="preserve"> and speed up data assessment</w:t>
      </w:r>
      <w:r w:rsidR="000242FC">
        <w:rPr>
          <w:lang w:val="en-US"/>
        </w:rPr>
        <w:t xml:space="preserve">. </w:t>
      </w:r>
      <w:r w:rsidR="000242FC">
        <w:t>However, these methods fo</w:t>
      </w:r>
      <w:r w:rsidR="000242FC">
        <w:t>c</w:t>
      </w:r>
      <w:r w:rsidR="000242FC">
        <w:t xml:space="preserve">us on a numerical analysis of the data </w:t>
      </w:r>
      <w:r w:rsidR="00F72D47">
        <w:t xml:space="preserve">have a </w:t>
      </w:r>
      <w:r w:rsidR="000242FC">
        <w:t>disadvantage of disconnecting the geologic and mineralogic thinking from the interrogation process.</w:t>
      </w:r>
    </w:p>
    <w:p w14:paraId="3C8F89A3" w14:textId="031E1A0C" w:rsidR="00D7685D" w:rsidRDefault="00D7685D" w:rsidP="001A7E42">
      <w:pPr>
        <w:rPr>
          <w:lang w:val="en-US"/>
        </w:rPr>
      </w:pPr>
    </w:p>
    <w:p w14:paraId="360ED131" w14:textId="77777777" w:rsidR="002E60A4" w:rsidRDefault="002E60A4" w:rsidP="002E60A4">
      <w:pPr>
        <w:keepNext/>
      </w:pPr>
      <w:r w:rsidRPr="002E60A4">
        <w:rPr>
          <w:noProof/>
        </w:rPr>
        <w:lastRenderedPageBreak/>
        <w:drawing>
          <wp:inline distT="0" distB="0" distL="0" distR="0" wp14:anchorId="09D38B56" wp14:editId="139511E6">
            <wp:extent cx="5040000" cy="3192173"/>
            <wp:effectExtent l="0" t="0" r="8255" b="825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0000" cy="319217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38E1EA74" w14:textId="39B71E15" w:rsidR="00D7685D" w:rsidRDefault="002E60A4" w:rsidP="002E60A4">
      <w:pPr>
        <w:pStyle w:val="Caption"/>
        <w:rPr>
          <w:lang w:val="en-US"/>
        </w:rPr>
      </w:pPr>
      <w:r>
        <w:t xml:space="preserve">Figure </w:t>
      </w:r>
      <w:fldSimple w:instr=" SEQ Figure \* ARABIC ">
        <w:r w:rsidR="00674243">
          <w:rPr>
            <w:noProof/>
          </w:rPr>
          <w:t>1</w:t>
        </w:r>
      </w:fldSimple>
      <w:r>
        <w:t xml:space="preserve">. Sc vs Th, </w:t>
      </w:r>
      <w:proofErr w:type="spellStart"/>
      <w:r>
        <w:t>Ti</w:t>
      </w:r>
      <w:proofErr w:type="spellEnd"/>
      <w:r>
        <w:t>, V and Nb. This data set contains 30,000 assay points. The point density contour overlay highlights compositional clusters in the data.</w:t>
      </w:r>
    </w:p>
    <w:p w14:paraId="2FA31044" w14:textId="455A29B9" w:rsidR="00557294" w:rsidRPr="00D9633C" w:rsidRDefault="00D9633C" w:rsidP="001A7E42">
      <w:pPr>
        <w:rPr>
          <w:color w:val="000000" w:themeColor="text1"/>
          <w:lang w:val="en-US"/>
        </w:rPr>
      </w:pPr>
      <w:r>
        <w:rPr>
          <w:lang w:val="en-US"/>
        </w:rPr>
        <w:t>Another recommend</w:t>
      </w:r>
      <w:r w:rsidR="00D46B1E">
        <w:rPr>
          <w:lang w:val="en-US"/>
        </w:rPr>
        <w:t xml:space="preserve">ation is to plot Cr against Sc or </w:t>
      </w:r>
      <w:proofErr w:type="spellStart"/>
      <w:r w:rsidR="00D46B1E">
        <w:rPr>
          <w:lang w:val="en-US"/>
        </w:rPr>
        <w:t>Ti</w:t>
      </w:r>
      <w:proofErr w:type="spellEnd"/>
      <w:r w:rsidR="00D46B1E">
        <w:rPr>
          <w:lang w:val="en-US"/>
        </w:rPr>
        <w:t>.</w:t>
      </w:r>
      <w:r>
        <w:rPr>
          <w:lang w:val="en-US"/>
        </w:rPr>
        <w:t xml:space="preserve"> In magmatic hydrothermal systems, it is quite common to see evidence of hybridized magmas. </w:t>
      </w:r>
      <w:r>
        <w:rPr>
          <w:color w:val="000000" w:themeColor="text1"/>
          <w:lang w:val="en-US"/>
        </w:rPr>
        <w:t xml:space="preserve">The hybridization processes commonly involve an injection of melt from deep in the mantle. </w:t>
      </w:r>
      <w:r w:rsidR="008D677F">
        <w:rPr>
          <w:color w:val="000000" w:themeColor="text1"/>
          <w:lang w:val="en-US"/>
        </w:rPr>
        <w:t>Dacitic</w:t>
      </w:r>
      <w:r>
        <w:rPr>
          <w:color w:val="000000" w:themeColor="text1"/>
          <w:lang w:val="en-US"/>
        </w:rPr>
        <w:t xml:space="preserve"> melts typically have 10 to 30ppm Cr. Cr levels much above this usually point to Cr-pyroxene as a phenocryst phase, which must have come from a deeper source</w:t>
      </w:r>
      <w:r w:rsidR="0087241E">
        <w:rPr>
          <w:color w:val="000000" w:themeColor="text1"/>
          <w:lang w:val="en-US"/>
        </w:rPr>
        <w:t xml:space="preserve"> </w:t>
      </w:r>
      <w:r w:rsidR="0087241E">
        <w:rPr>
          <w:lang w:val="en-US"/>
        </w:rPr>
        <w:t>(Mair et al, 2011)</w:t>
      </w:r>
      <w:r>
        <w:rPr>
          <w:color w:val="000000" w:themeColor="text1"/>
          <w:lang w:val="en-US"/>
        </w:rPr>
        <w:t>.</w:t>
      </w:r>
    </w:p>
    <w:p w14:paraId="6AF15F74" w14:textId="6D44337C" w:rsidR="00D9633C" w:rsidRDefault="007F72A3" w:rsidP="001A7E42">
      <w:pPr>
        <w:rPr>
          <w:lang w:val="en-US"/>
        </w:rPr>
      </w:pPr>
      <w:r>
        <w:rPr>
          <w:lang w:val="en-US"/>
        </w:rPr>
        <w:t>Most magmatic rocks contain somewhere between 6% to 9% Al. Low Al values are usually a result of dilution. Where rocks are strongly veined or cemented breccias, the infilling mineral dilutes the immobile trace element component of the rock and all of the immobile elements plot on x-y scatterplot trajectories heading back towards the origin.</w:t>
      </w:r>
      <w:r w:rsidR="000430A9">
        <w:rPr>
          <w:lang w:val="en-US"/>
        </w:rPr>
        <w:t xml:space="preserve"> This will be evident on a plot of Al against </w:t>
      </w:r>
      <w:proofErr w:type="spellStart"/>
      <w:r w:rsidR="000430A9">
        <w:rPr>
          <w:lang w:val="en-US"/>
        </w:rPr>
        <w:t>Ti</w:t>
      </w:r>
      <w:proofErr w:type="spellEnd"/>
      <w:r w:rsidR="000430A9">
        <w:rPr>
          <w:lang w:val="en-US"/>
        </w:rPr>
        <w:t xml:space="preserve"> or Sc.</w:t>
      </w:r>
    </w:p>
    <w:p w14:paraId="051DB32A" w14:textId="22169EB0" w:rsidR="00C76AA1" w:rsidRDefault="007F72A3" w:rsidP="001A7E42">
      <w:r>
        <w:t xml:space="preserve">As well as the general immobile element scatterplots listed above, there are a series of specific x-y plots that should be examined. Pairs of trace elements that partition into a specific mineral phase, but with slightly different partition coefficients are very sensitive indictors of fractionation of that mineral. Although this was recognised by igneous petrologists long ago, the analytical methods to measure this with any great precision where not available at that time. Now that extraordinary detection limits and precision </w:t>
      </w:r>
      <w:r w:rsidR="00F27019">
        <w:t xml:space="preserve">can be obtained </w:t>
      </w:r>
      <w:r>
        <w:t xml:space="preserve">from </w:t>
      </w:r>
      <w:r w:rsidR="00F27019">
        <w:t xml:space="preserve">routine </w:t>
      </w:r>
      <w:r>
        <w:t>ICP-MS</w:t>
      </w:r>
      <w:r w:rsidR="00C76AA1">
        <w:t xml:space="preserve"> analyses, </w:t>
      </w:r>
      <w:r w:rsidR="00F27019">
        <w:t>it is possible to characterise these fractionation processes in thousands of analyses through entire mineral deposits.</w:t>
      </w:r>
    </w:p>
    <w:p w14:paraId="43C1C536" w14:textId="54331EA9" w:rsidR="00C76AA1" w:rsidRDefault="00BC4485" w:rsidP="001A7E42">
      <w:r>
        <w:t>Some of the plots from ICP-MS analyses that can be used to map specific processes include;</w:t>
      </w:r>
    </w:p>
    <w:p w14:paraId="716ED184" w14:textId="12614A1C" w:rsidR="001A7E42" w:rsidRDefault="001A7E42" w:rsidP="00543C51">
      <w:pPr>
        <w:pStyle w:val="ListParagraph"/>
        <w:numPr>
          <w:ilvl w:val="0"/>
          <w:numId w:val="1"/>
        </w:numPr>
      </w:pPr>
      <w:r w:rsidRPr="001A7E42">
        <w:t xml:space="preserve">V vs Sc; to </w:t>
      </w:r>
      <w:r w:rsidR="00A634CB">
        <w:t>identify</w:t>
      </w:r>
      <w:r w:rsidRPr="001A7E42">
        <w:t xml:space="preserve"> signatures of high pressure melting of an amphibole-bearing source, or fractional crystallization of magnetite</w:t>
      </w:r>
    </w:p>
    <w:p w14:paraId="3964C0D4" w14:textId="224807E2" w:rsidR="00C526D7" w:rsidRPr="001A7E42" w:rsidRDefault="00C526D7" w:rsidP="00C526D7">
      <w:pPr>
        <w:pStyle w:val="ListParagraph"/>
        <w:numPr>
          <w:ilvl w:val="0"/>
          <w:numId w:val="1"/>
        </w:numPr>
      </w:pPr>
      <w:r w:rsidRPr="001A7E42">
        <w:t xml:space="preserve">Sr vs Y; to </w:t>
      </w:r>
      <w:r>
        <w:t>identify</w:t>
      </w:r>
      <w:r w:rsidRPr="001A7E42">
        <w:t xml:space="preserve"> high P melting of plagioclase in hydrous environment</w:t>
      </w:r>
      <w:r>
        <w:t xml:space="preserve"> (</w:t>
      </w:r>
      <w:proofErr w:type="spellStart"/>
      <w:r>
        <w:rPr>
          <w:rFonts w:ascii="Arial" w:hAnsi="Arial" w:cs="Arial"/>
          <w:color w:val="222222"/>
          <w:sz w:val="20"/>
          <w:szCs w:val="20"/>
        </w:rPr>
        <w:t>Chiaradia</w:t>
      </w:r>
      <w:proofErr w:type="spellEnd"/>
      <w:r>
        <w:rPr>
          <w:rFonts w:ascii="Arial" w:hAnsi="Arial" w:cs="Arial"/>
          <w:color w:val="222222"/>
          <w:sz w:val="20"/>
          <w:szCs w:val="20"/>
        </w:rPr>
        <w:t>, 2012)</w:t>
      </w:r>
    </w:p>
    <w:p w14:paraId="4368B24F" w14:textId="77777777" w:rsidR="001A7E42" w:rsidRPr="001A7E42" w:rsidRDefault="001A7E42" w:rsidP="004620BE">
      <w:pPr>
        <w:pStyle w:val="ListParagraph"/>
        <w:numPr>
          <w:ilvl w:val="0"/>
          <w:numId w:val="1"/>
        </w:numPr>
      </w:pPr>
      <w:proofErr w:type="spellStart"/>
      <w:r w:rsidRPr="001A7E42">
        <w:t>Ti</w:t>
      </w:r>
      <w:proofErr w:type="spellEnd"/>
      <w:r w:rsidRPr="001A7E42">
        <w:t xml:space="preserve"> vs </w:t>
      </w:r>
      <w:proofErr w:type="spellStart"/>
      <w:r w:rsidRPr="001A7E42">
        <w:t>Nb</w:t>
      </w:r>
      <w:proofErr w:type="spellEnd"/>
      <w:r w:rsidRPr="001A7E42">
        <w:t>; to characterize opaque oxide mineralogy</w:t>
      </w:r>
    </w:p>
    <w:p w14:paraId="228D5632" w14:textId="5F9574FA" w:rsidR="001A7E42" w:rsidRPr="001A7E42" w:rsidRDefault="001A7E42" w:rsidP="004620BE">
      <w:pPr>
        <w:pStyle w:val="ListParagraph"/>
        <w:numPr>
          <w:ilvl w:val="0"/>
          <w:numId w:val="1"/>
        </w:numPr>
      </w:pPr>
      <w:r w:rsidRPr="001A7E42">
        <w:t xml:space="preserve">Ta vs </w:t>
      </w:r>
      <w:proofErr w:type="spellStart"/>
      <w:r w:rsidRPr="001A7E42">
        <w:t>Nb</w:t>
      </w:r>
      <w:proofErr w:type="spellEnd"/>
      <w:r w:rsidRPr="001A7E42">
        <w:t xml:space="preserve">; to </w:t>
      </w:r>
      <w:r w:rsidR="00A634CB">
        <w:t>identify</w:t>
      </w:r>
      <w:r w:rsidRPr="001A7E42">
        <w:t xml:space="preserve"> fractional crystallization of biotite</w:t>
      </w:r>
      <w:r w:rsidR="00A24A69">
        <w:t xml:space="preserve"> </w:t>
      </w:r>
      <w:r w:rsidR="00A24A69">
        <w:rPr>
          <w:lang w:val="en-US"/>
        </w:rPr>
        <w:t>(</w:t>
      </w:r>
      <w:proofErr w:type="spellStart"/>
      <w:r w:rsidR="00A24A69">
        <w:rPr>
          <w:rFonts w:ascii="Arial" w:hAnsi="Arial" w:cs="Arial"/>
          <w:color w:val="222222"/>
          <w:sz w:val="20"/>
          <w:szCs w:val="20"/>
        </w:rPr>
        <w:t>Stepanov</w:t>
      </w:r>
      <w:proofErr w:type="spellEnd"/>
      <w:r w:rsidR="00A24A69">
        <w:rPr>
          <w:rFonts w:ascii="Arial" w:hAnsi="Arial" w:cs="Arial"/>
          <w:color w:val="222222"/>
          <w:sz w:val="20"/>
          <w:szCs w:val="20"/>
        </w:rPr>
        <w:t xml:space="preserve"> and Hermann, 2013)</w:t>
      </w:r>
    </w:p>
    <w:p w14:paraId="2330794F" w14:textId="278CC0B4" w:rsidR="001A7E42" w:rsidRPr="001A7E42" w:rsidRDefault="001A7E42" w:rsidP="004620BE">
      <w:pPr>
        <w:pStyle w:val="ListParagraph"/>
        <w:numPr>
          <w:ilvl w:val="0"/>
          <w:numId w:val="1"/>
        </w:numPr>
      </w:pPr>
      <w:r w:rsidRPr="001A7E42">
        <w:t xml:space="preserve">Hf vs </w:t>
      </w:r>
      <w:proofErr w:type="spellStart"/>
      <w:r w:rsidRPr="001A7E42">
        <w:t>Zr</w:t>
      </w:r>
      <w:proofErr w:type="spellEnd"/>
      <w:r w:rsidRPr="001A7E42">
        <w:t xml:space="preserve">; to </w:t>
      </w:r>
      <w:r w:rsidR="00A634CB">
        <w:t>identify</w:t>
      </w:r>
      <w:r w:rsidRPr="001A7E42">
        <w:t xml:space="preserve"> fractional crystallization of zircon</w:t>
      </w:r>
      <w:r w:rsidR="00A24A69">
        <w:t xml:space="preserve"> </w:t>
      </w:r>
      <w:r w:rsidR="00A24A69">
        <w:rPr>
          <w:rFonts w:ascii="Arial" w:hAnsi="Arial" w:cs="Arial"/>
          <w:color w:val="222222"/>
          <w:sz w:val="20"/>
          <w:szCs w:val="20"/>
        </w:rPr>
        <w:t>Claiborne et al., 2006).</w:t>
      </w:r>
    </w:p>
    <w:p w14:paraId="11A2FB13" w14:textId="739721FF" w:rsidR="001A7E42" w:rsidRDefault="001A7E42" w:rsidP="004620BE">
      <w:pPr>
        <w:pStyle w:val="ListParagraph"/>
        <w:numPr>
          <w:ilvl w:val="0"/>
          <w:numId w:val="1"/>
        </w:numPr>
      </w:pPr>
      <w:r w:rsidRPr="001A7E42">
        <w:t xml:space="preserve">Sc vs Ni; to </w:t>
      </w:r>
      <w:r w:rsidR="00A634CB">
        <w:t>identify</w:t>
      </w:r>
      <w:r w:rsidRPr="001A7E42">
        <w:t xml:space="preserve"> </w:t>
      </w:r>
      <w:proofErr w:type="spellStart"/>
      <w:r w:rsidRPr="001A7E42">
        <w:t>sulfur</w:t>
      </w:r>
      <w:proofErr w:type="spellEnd"/>
      <w:r w:rsidRPr="001A7E42">
        <w:t xml:space="preserve"> saturated magmas</w:t>
      </w:r>
    </w:p>
    <w:p w14:paraId="2EE24156" w14:textId="1DBB8E27" w:rsidR="00BC4485" w:rsidRDefault="00FF77BB" w:rsidP="00BC4485">
      <w:pPr>
        <w:keepNext/>
      </w:pPr>
      <w:r w:rsidRPr="00FF77BB">
        <w:rPr>
          <w:noProof/>
        </w:rPr>
        <w:lastRenderedPageBreak/>
        <w:drawing>
          <wp:inline distT="0" distB="0" distL="0" distR="0" wp14:anchorId="5C9DEC76" wp14:editId="3F493700">
            <wp:extent cx="4320000" cy="27324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20000" cy="2732400"/>
                    </a:xfrm>
                    <a:prstGeom prst="rect">
                      <a:avLst/>
                    </a:prstGeom>
                    <a:noFill/>
                    <a:ln>
                      <a:noFill/>
                    </a:ln>
                  </pic:spPr>
                </pic:pic>
              </a:graphicData>
            </a:graphic>
          </wp:inline>
        </w:drawing>
      </w:r>
    </w:p>
    <w:p w14:paraId="64B075AF" w14:textId="527E721D" w:rsidR="001A7E42" w:rsidRDefault="00BC4485" w:rsidP="00BC4485">
      <w:pPr>
        <w:pStyle w:val="Caption"/>
      </w:pPr>
      <w:r>
        <w:t xml:space="preserve">Figure </w:t>
      </w:r>
      <w:fldSimple w:instr=" SEQ Figure \* ARABIC ">
        <w:r w:rsidR="00674243">
          <w:rPr>
            <w:noProof/>
          </w:rPr>
          <w:t>2</w:t>
        </w:r>
      </w:fldSimple>
      <w:r>
        <w:t xml:space="preserve">. </w:t>
      </w:r>
      <w:r w:rsidR="00FF77BB">
        <w:t>V/</w:t>
      </w:r>
      <w:r>
        <w:t xml:space="preserve">Sc versus </w:t>
      </w:r>
      <w:r w:rsidR="00FF77BB">
        <w:t>Sc</w:t>
      </w:r>
      <w:r>
        <w:t>. Decreasing V/Sc with increasing SiO2 is a signature of fractional crystallization of magnetite.</w:t>
      </w:r>
    </w:p>
    <w:p w14:paraId="3112F305" w14:textId="67C2F5A0" w:rsidR="001A7E42" w:rsidRPr="00C526D7" w:rsidRDefault="001A7E42" w:rsidP="00C526D7">
      <w:pPr>
        <w:rPr>
          <w:lang w:val="en-US"/>
        </w:rPr>
      </w:pPr>
      <w:r w:rsidRPr="00C526D7">
        <w:rPr>
          <w:lang w:val="en-US"/>
        </w:rPr>
        <w:t>In reduced magmas, V</w:t>
      </w:r>
      <w:r w:rsidRPr="00C526D7">
        <w:rPr>
          <w:vertAlign w:val="superscript"/>
          <w:lang w:val="en-US"/>
        </w:rPr>
        <w:t>3+</w:t>
      </w:r>
      <w:r w:rsidRPr="00C526D7">
        <w:rPr>
          <w:lang w:val="en-US"/>
        </w:rPr>
        <w:t xml:space="preserve"> has very similar </w:t>
      </w:r>
      <w:r w:rsidR="00A23ED5" w:rsidRPr="00C526D7">
        <w:rPr>
          <w:lang w:val="en-US"/>
        </w:rPr>
        <w:t>behavior</w:t>
      </w:r>
      <w:r w:rsidRPr="00C526D7">
        <w:rPr>
          <w:lang w:val="en-US"/>
        </w:rPr>
        <w:t xml:space="preserve"> to Sc</w:t>
      </w:r>
      <w:r w:rsidRPr="00C526D7">
        <w:rPr>
          <w:vertAlign w:val="superscript"/>
          <w:lang w:val="en-US"/>
        </w:rPr>
        <w:t>3+</w:t>
      </w:r>
      <w:r w:rsidRPr="00C526D7">
        <w:rPr>
          <w:lang w:val="en-US"/>
        </w:rPr>
        <w:t xml:space="preserve">. </w:t>
      </w:r>
      <w:r w:rsidR="00A23ED5" w:rsidRPr="00C526D7">
        <w:rPr>
          <w:lang w:val="en-US"/>
        </w:rPr>
        <w:t>Both</w:t>
      </w:r>
      <w:r w:rsidR="009F6D41" w:rsidRPr="00C526D7">
        <w:rPr>
          <w:lang w:val="en-US"/>
        </w:rPr>
        <w:t xml:space="preserve"> metals substitute for Fe in amphibole, pyroxene and biotite. In reduced magmas t</w:t>
      </w:r>
      <w:r w:rsidRPr="00C526D7">
        <w:rPr>
          <w:lang w:val="en-US"/>
        </w:rPr>
        <w:t xml:space="preserve">he V/Sc ratio </w:t>
      </w:r>
      <w:r w:rsidR="009F6D41" w:rsidRPr="00C526D7">
        <w:rPr>
          <w:lang w:val="en-US"/>
        </w:rPr>
        <w:t>remains constant at</w:t>
      </w:r>
      <w:r w:rsidRPr="00C526D7">
        <w:rPr>
          <w:lang w:val="en-US"/>
        </w:rPr>
        <w:t xml:space="preserve"> around 7:1</w:t>
      </w:r>
      <w:r w:rsidR="009F6D41" w:rsidRPr="00C526D7">
        <w:rPr>
          <w:lang w:val="en-US"/>
        </w:rPr>
        <w:t xml:space="preserve"> from mafic through to felsic compositions</w:t>
      </w:r>
      <w:r w:rsidR="00CF1BCD" w:rsidRPr="00C526D7">
        <w:rPr>
          <w:lang w:val="en-US"/>
        </w:rPr>
        <w:t xml:space="preserve"> (Li and Lee, 2004)</w:t>
      </w:r>
      <w:r w:rsidRPr="00C526D7">
        <w:rPr>
          <w:lang w:val="en-US"/>
        </w:rPr>
        <w:t>. In more oxidized magma</w:t>
      </w:r>
      <w:r w:rsidR="009F6D41" w:rsidRPr="00C526D7">
        <w:rPr>
          <w:lang w:val="en-US"/>
        </w:rPr>
        <w:t>s</w:t>
      </w:r>
      <w:r w:rsidRPr="00C526D7">
        <w:rPr>
          <w:lang w:val="en-US"/>
        </w:rPr>
        <w:t>, some of the V is 4</w:t>
      </w:r>
      <w:r w:rsidRPr="00C526D7">
        <w:rPr>
          <w:vertAlign w:val="superscript"/>
          <w:lang w:val="en-US"/>
        </w:rPr>
        <w:t>+</w:t>
      </w:r>
      <w:r w:rsidR="009E22B1" w:rsidRPr="00C526D7">
        <w:rPr>
          <w:lang w:val="en-US"/>
        </w:rPr>
        <w:t xml:space="preserve"> and this has a significant effect on the partition coefficients for V (</w:t>
      </w:r>
      <w:proofErr w:type="spellStart"/>
      <w:r w:rsidR="009E22B1" w:rsidRPr="00C526D7">
        <w:rPr>
          <w:rFonts w:ascii="Arial" w:hAnsi="Arial" w:cs="Arial"/>
          <w:color w:val="222222"/>
          <w:sz w:val="20"/>
          <w:szCs w:val="20"/>
        </w:rPr>
        <w:t>Shervais</w:t>
      </w:r>
      <w:proofErr w:type="spellEnd"/>
      <w:r w:rsidR="009E22B1" w:rsidRPr="00C526D7">
        <w:rPr>
          <w:rFonts w:ascii="Arial" w:hAnsi="Arial" w:cs="Arial"/>
          <w:color w:val="222222"/>
          <w:sz w:val="20"/>
          <w:szCs w:val="20"/>
        </w:rPr>
        <w:t>, J. W., 1982)</w:t>
      </w:r>
      <w:r w:rsidRPr="00C526D7">
        <w:rPr>
          <w:lang w:val="en-US"/>
        </w:rPr>
        <w:t>. V</w:t>
      </w:r>
      <w:r w:rsidRPr="00C526D7">
        <w:rPr>
          <w:vertAlign w:val="superscript"/>
          <w:lang w:val="en-US"/>
        </w:rPr>
        <w:t>4+</w:t>
      </w:r>
      <w:r w:rsidRPr="00C526D7">
        <w:rPr>
          <w:lang w:val="en-US"/>
        </w:rPr>
        <w:t xml:space="preserve"> has a very strong affinity for magnetite.</w:t>
      </w:r>
      <w:r w:rsidR="009F6D41" w:rsidRPr="00C526D7">
        <w:rPr>
          <w:lang w:val="en-US"/>
        </w:rPr>
        <w:t xml:space="preserve"> </w:t>
      </w:r>
      <w:r w:rsidRPr="00C526D7">
        <w:rPr>
          <w:lang w:val="en-US"/>
        </w:rPr>
        <w:t>Fractional crystallization of magnetite causes a depletion of V relative to Sc. Declining V/Sc with increasing SiO</w:t>
      </w:r>
      <w:r w:rsidRPr="00C526D7">
        <w:rPr>
          <w:vertAlign w:val="subscript"/>
          <w:lang w:val="en-US"/>
        </w:rPr>
        <w:t>2</w:t>
      </w:r>
      <w:r w:rsidRPr="00C526D7">
        <w:rPr>
          <w:lang w:val="en-US"/>
        </w:rPr>
        <w:t xml:space="preserve"> (or with decreasing Sc) is a sure sign of fractional crystallization of magnetite</w:t>
      </w:r>
      <w:r w:rsidR="00211EBB" w:rsidRPr="00C526D7">
        <w:rPr>
          <w:lang w:val="en-US"/>
        </w:rPr>
        <w:t xml:space="preserve"> (fig 2)</w:t>
      </w:r>
      <w:r w:rsidRPr="00C526D7">
        <w:rPr>
          <w:lang w:val="en-US"/>
        </w:rPr>
        <w:t>. This is a very common signature in magnetite-series melts.</w:t>
      </w:r>
    </w:p>
    <w:p w14:paraId="100C75BD" w14:textId="3F006DB5" w:rsidR="007F151A" w:rsidRDefault="00C526D7" w:rsidP="00C526D7">
      <w:pPr>
        <w:rPr>
          <w:lang w:val="en-US"/>
        </w:rPr>
      </w:pPr>
      <w:r>
        <w:rPr>
          <w:lang w:val="en-US"/>
        </w:rPr>
        <w:t>F</w:t>
      </w:r>
      <w:r w:rsidRPr="001A7E42">
        <w:rPr>
          <w:lang w:val="en-US"/>
        </w:rPr>
        <w:t xml:space="preserve">ertile porphyry Cu magmas showed a trend of increasing V/Sc with increasing </w:t>
      </w:r>
      <w:r w:rsidRPr="00757D0F">
        <w:rPr>
          <w:color w:val="000000" w:themeColor="text1"/>
          <w:lang w:val="en-US"/>
        </w:rPr>
        <w:t>SiO</w:t>
      </w:r>
      <w:r w:rsidRPr="00C526D7">
        <w:rPr>
          <w:color w:val="000000" w:themeColor="text1"/>
          <w:vertAlign w:val="subscript"/>
          <w:lang w:val="en-US"/>
        </w:rPr>
        <w:t>2</w:t>
      </w:r>
      <w:r w:rsidRPr="00757D0F">
        <w:rPr>
          <w:color w:val="000000" w:themeColor="text1"/>
          <w:lang w:val="en-US"/>
        </w:rPr>
        <w:t xml:space="preserve"> (Loucks, 2014). </w:t>
      </w:r>
      <w:r>
        <w:rPr>
          <w:lang w:val="en-US"/>
        </w:rPr>
        <w:t xml:space="preserve">This trend is the opposite effect to the fractional crystallization of magnetite (fig. 2). </w:t>
      </w:r>
      <w:r w:rsidR="006371A2">
        <w:t>H</w:t>
      </w:r>
      <w:r w:rsidR="006371A2" w:rsidRPr="00E174DA">
        <w:t>igh V/Sc ratio</w:t>
      </w:r>
      <w:r w:rsidR="006371A2">
        <w:t>s</w:t>
      </w:r>
      <w:r w:rsidR="006371A2" w:rsidRPr="00E174DA">
        <w:t xml:space="preserve"> </w:t>
      </w:r>
      <w:r w:rsidR="006371A2">
        <w:t>are likely to be a result</w:t>
      </w:r>
      <w:r w:rsidR="006371A2" w:rsidRPr="00E174DA">
        <w:t xml:space="preserve"> </w:t>
      </w:r>
      <w:r w:rsidR="006371A2">
        <w:t>of</w:t>
      </w:r>
      <w:r w:rsidR="006371A2" w:rsidRPr="00E174DA">
        <w:t xml:space="preserve"> oxidized and hydrous magmas, as early magnetite can be suppressed by high water contents. </w:t>
      </w:r>
      <w:r w:rsidR="006371A2">
        <w:t>A</w:t>
      </w:r>
      <w:r w:rsidR="006371A2" w:rsidRPr="00E174DA">
        <w:t>s the oxidation state of magmas increases from NNO=0 to NNO=+3, the magnetite/melt partition coefficient of vanadium drops from ~20 to ~1 (</w:t>
      </w:r>
      <w:proofErr w:type="spellStart"/>
      <w:r w:rsidR="006371A2" w:rsidRPr="00E174DA">
        <w:t>Toplis</w:t>
      </w:r>
      <w:proofErr w:type="spellEnd"/>
      <w:r w:rsidR="006371A2" w:rsidRPr="00E174DA">
        <w:t xml:space="preserve"> and </w:t>
      </w:r>
      <w:proofErr w:type="spellStart"/>
      <w:r w:rsidR="006371A2" w:rsidRPr="00E174DA">
        <w:t>Corgne</w:t>
      </w:r>
      <w:proofErr w:type="spellEnd"/>
      <w:r w:rsidR="006371A2" w:rsidRPr="00E174DA">
        <w:t xml:space="preserve">, 2002). Therefore, vanadium acts incompatibly in strongly oxidized magmas whereas scandium remains compatible in </w:t>
      </w:r>
      <w:r w:rsidR="006371A2">
        <w:t xml:space="preserve">clinopyroxene and </w:t>
      </w:r>
      <w:r w:rsidR="006371A2" w:rsidRPr="00E174DA">
        <w:t>hornblende, with the result of increasing the V/Sc ratios (NNO&gt;1, Loucks, 2014).</w:t>
      </w:r>
      <w:r w:rsidR="00902FA9">
        <w:t xml:space="preserve"> Although hornblende fractionation is commonly implicated (Loucks 2014, </w:t>
      </w:r>
      <w:proofErr w:type="spellStart"/>
      <w:r w:rsidR="00902FA9" w:rsidRPr="00E174DA">
        <w:t>Toplis</w:t>
      </w:r>
      <w:proofErr w:type="spellEnd"/>
      <w:r w:rsidR="00902FA9" w:rsidRPr="00E174DA">
        <w:t xml:space="preserve"> and </w:t>
      </w:r>
      <w:proofErr w:type="spellStart"/>
      <w:r w:rsidR="00902FA9" w:rsidRPr="00E174DA">
        <w:t>Corgne</w:t>
      </w:r>
      <w:proofErr w:type="spellEnd"/>
      <w:r w:rsidR="00902FA9" w:rsidRPr="00E174DA">
        <w:t>, 2002</w:t>
      </w:r>
      <w:r w:rsidR="00902FA9">
        <w:t xml:space="preserve">), clinopyroxene </w:t>
      </w:r>
      <w:r>
        <w:rPr>
          <w:lang w:val="en-US"/>
        </w:rPr>
        <w:t xml:space="preserve">has the highest partition coefficient for Sc </w:t>
      </w:r>
      <w:r w:rsidR="00902FA9">
        <w:rPr>
          <w:lang w:val="en-US"/>
        </w:rPr>
        <w:t xml:space="preserve">of all the likely host minerals </w:t>
      </w:r>
      <w:r>
        <w:rPr>
          <w:lang w:val="en-US"/>
        </w:rPr>
        <w:t>(</w:t>
      </w:r>
      <w:r>
        <w:rPr>
          <w:rFonts w:ascii="Arial" w:hAnsi="Arial" w:cs="Arial"/>
          <w:color w:val="222222"/>
          <w:sz w:val="20"/>
          <w:szCs w:val="20"/>
        </w:rPr>
        <w:t xml:space="preserve">Williams-Jones and </w:t>
      </w:r>
      <w:proofErr w:type="spellStart"/>
      <w:r>
        <w:rPr>
          <w:rFonts w:ascii="Arial" w:hAnsi="Arial" w:cs="Arial"/>
          <w:color w:val="222222"/>
          <w:sz w:val="20"/>
          <w:szCs w:val="20"/>
        </w:rPr>
        <w:t>Vasyukova</w:t>
      </w:r>
      <w:proofErr w:type="spellEnd"/>
      <w:r>
        <w:rPr>
          <w:rFonts w:ascii="Arial" w:hAnsi="Arial" w:cs="Arial"/>
          <w:color w:val="222222"/>
          <w:sz w:val="20"/>
          <w:szCs w:val="20"/>
        </w:rPr>
        <w:t>, 2018)</w:t>
      </w:r>
      <w:r>
        <w:rPr>
          <w:lang w:val="en-US"/>
        </w:rPr>
        <w:t xml:space="preserve">. </w:t>
      </w:r>
      <w:r w:rsidR="007F151A" w:rsidRPr="001A7E42">
        <w:rPr>
          <w:lang w:val="en-US"/>
        </w:rPr>
        <w:t xml:space="preserve">Therefore, high pressure melting of an amphibolite source under oxidizing conditions leads to </w:t>
      </w:r>
      <w:r w:rsidR="007F151A">
        <w:rPr>
          <w:lang w:val="en-US"/>
        </w:rPr>
        <w:t xml:space="preserve">more Sc being retained in the residue or cumulates and more V being retained in the melt, thus </w:t>
      </w:r>
      <w:r w:rsidR="007F151A" w:rsidRPr="001A7E42">
        <w:rPr>
          <w:lang w:val="en-US"/>
        </w:rPr>
        <w:t>increasing V/Sc</w:t>
      </w:r>
      <w:r w:rsidR="007F151A">
        <w:rPr>
          <w:lang w:val="en-US"/>
        </w:rPr>
        <w:t xml:space="preserve"> as the magma evolves</w:t>
      </w:r>
      <w:r w:rsidR="007F151A" w:rsidRPr="001A7E42">
        <w:rPr>
          <w:lang w:val="en-US"/>
        </w:rPr>
        <w:t>.</w:t>
      </w:r>
    </w:p>
    <w:p w14:paraId="0E7D919F" w14:textId="03A94C00" w:rsidR="007F151A" w:rsidRDefault="007F151A" w:rsidP="00C526D7">
      <w:pPr>
        <w:rPr>
          <w:lang w:val="en-US"/>
        </w:rPr>
      </w:pPr>
      <w:r w:rsidRPr="001A7E42">
        <w:rPr>
          <w:lang w:val="en-US"/>
        </w:rPr>
        <w:t>Porphyry Cu magmas typically have 3 to 8ppm Sc and V/Sc ratios of 10 to 15.</w:t>
      </w:r>
      <w:r>
        <w:rPr>
          <w:lang w:val="en-US"/>
        </w:rPr>
        <w:t xml:space="preserve"> A</w:t>
      </w:r>
      <w:r w:rsidRPr="001A7E42">
        <w:rPr>
          <w:lang w:val="en-US"/>
        </w:rPr>
        <w:t xml:space="preserve"> </w:t>
      </w:r>
      <w:r>
        <w:rPr>
          <w:lang w:val="en-US"/>
        </w:rPr>
        <w:t>four-acid digest</w:t>
      </w:r>
      <w:r w:rsidRPr="001A7E42">
        <w:rPr>
          <w:lang w:val="en-US"/>
        </w:rPr>
        <w:t xml:space="preserve"> ICP-MS/AES does not report SiO</w:t>
      </w:r>
      <w:r w:rsidRPr="00902FA9">
        <w:rPr>
          <w:vertAlign w:val="subscript"/>
          <w:lang w:val="en-US"/>
        </w:rPr>
        <w:t>2</w:t>
      </w:r>
      <w:r>
        <w:rPr>
          <w:lang w:val="en-US"/>
        </w:rPr>
        <w:t xml:space="preserve"> so figure 6 from Loucks (2014) cannot be derived from these assays. As an alternative, plotting</w:t>
      </w:r>
      <w:r w:rsidRPr="001A7E42">
        <w:rPr>
          <w:lang w:val="en-US"/>
        </w:rPr>
        <w:t xml:space="preserve"> V/Sc vs Sc</w:t>
      </w:r>
      <w:r>
        <w:rPr>
          <w:lang w:val="en-US"/>
        </w:rPr>
        <w:t xml:space="preserve"> effectively maps the fertile porphyry Cu trend. </w:t>
      </w:r>
      <w:r w:rsidRPr="001A7E42">
        <w:rPr>
          <w:lang w:val="en-US"/>
        </w:rPr>
        <w:t xml:space="preserve"> </w:t>
      </w:r>
      <w:r>
        <w:rPr>
          <w:lang w:val="en-US"/>
        </w:rPr>
        <w:t>The advantage of plotting V/Sc against Sc rather than SiO</w:t>
      </w:r>
      <w:r w:rsidRPr="006371A2">
        <w:rPr>
          <w:vertAlign w:val="subscript"/>
          <w:lang w:val="en-US"/>
        </w:rPr>
        <w:t>2</w:t>
      </w:r>
      <w:r>
        <w:rPr>
          <w:lang w:val="en-US"/>
        </w:rPr>
        <w:t xml:space="preserve"> is that it will be less affected by alteration and vein density. Figure 2 is derived from a drill hole through the center of a porphyry Cu deposit.</w:t>
      </w:r>
    </w:p>
    <w:p w14:paraId="5AAE5EC3" w14:textId="41EC5811" w:rsidR="00902FA9" w:rsidRDefault="007F151A" w:rsidP="00C526D7">
      <w:pPr>
        <w:rPr>
          <w:lang w:val="en-US"/>
        </w:rPr>
      </w:pPr>
      <w:r>
        <w:rPr>
          <w:lang w:val="en-US"/>
        </w:rPr>
        <w:t xml:space="preserve">A corollary of this is that </w:t>
      </w:r>
      <w:r w:rsidR="00C526D7">
        <w:rPr>
          <w:lang w:val="en-US"/>
        </w:rPr>
        <w:t xml:space="preserve">pyroxene cumulates </w:t>
      </w:r>
      <w:r>
        <w:rPr>
          <w:lang w:val="en-US"/>
        </w:rPr>
        <w:t xml:space="preserve">formed in anomalously oxidized conditions should have lower V/Sc ratios. In the Archean greenstone belts of the </w:t>
      </w:r>
      <w:proofErr w:type="spellStart"/>
      <w:r>
        <w:rPr>
          <w:lang w:val="en-US"/>
        </w:rPr>
        <w:t>Yilgarn</w:t>
      </w:r>
      <w:proofErr w:type="spellEnd"/>
      <w:r>
        <w:rPr>
          <w:lang w:val="en-US"/>
        </w:rPr>
        <w:t xml:space="preserve"> Craton in Western Australia, differentiated gabbro sills with basal pyroxene cumulates are very common. The lower portions of these sills are ilmenite bearing, and the pyroxenites always have a V/Sc ratio around 7.  </w:t>
      </w:r>
      <w:r w:rsidR="00345601">
        <w:rPr>
          <w:lang w:val="en-US"/>
        </w:rPr>
        <w:t>However,</w:t>
      </w:r>
      <w:r>
        <w:rPr>
          <w:lang w:val="en-US"/>
        </w:rPr>
        <w:t xml:space="preserve"> there are rare pyroxene cumulates in gabbroic intrusions where the V/Sc ratios are consistently </w:t>
      </w:r>
      <w:r>
        <w:rPr>
          <w:lang w:val="en-US"/>
        </w:rPr>
        <w:lastRenderedPageBreak/>
        <w:t>around 3. These intrusions host</w:t>
      </w:r>
      <w:r w:rsidR="00C526D7">
        <w:rPr>
          <w:lang w:val="en-US"/>
        </w:rPr>
        <w:t xml:space="preserve"> </w:t>
      </w:r>
      <w:proofErr w:type="spellStart"/>
      <w:r w:rsidR="00C526D7">
        <w:rPr>
          <w:lang w:val="en-US"/>
        </w:rPr>
        <w:t>orthomagmatic</w:t>
      </w:r>
      <w:proofErr w:type="spellEnd"/>
      <w:r w:rsidR="00C526D7">
        <w:rPr>
          <w:lang w:val="en-US"/>
        </w:rPr>
        <w:t xml:space="preserve"> Ni-sulfides</w:t>
      </w:r>
      <w:r w:rsidR="00345601">
        <w:rPr>
          <w:lang w:val="en-US"/>
        </w:rPr>
        <w:t xml:space="preserve">. This suggests there is a link between higher magmatic sulfur contents and anomalous oxidation states in these Ni deposits. </w:t>
      </w:r>
      <w:r w:rsidR="00C526D7">
        <w:rPr>
          <w:lang w:val="en-US"/>
        </w:rPr>
        <w:t xml:space="preserve"> </w:t>
      </w:r>
    </w:p>
    <w:p w14:paraId="22A3C4B6" w14:textId="018FC5F0" w:rsidR="00C526D7" w:rsidRPr="00DA3E9A" w:rsidRDefault="00C526D7" w:rsidP="00C526D7">
      <w:pPr>
        <w:rPr>
          <w:color w:val="FF0000"/>
          <w:lang w:val="en-US"/>
        </w:rPr>
      </w:pPr>
    </w:p>
    <w:p w14:paraId="7FBE4C4F" w14:textId="77777777" w:rsidR="00C526D7" w:rsidRDefault="00C526D7" w:rsidP="00C526D7">
      <w:pPr>
        <w:keepNext/>
      </w:pPr>
      <w:r w:rsidRPr="002008DE">
        <w:rPr>
          <w:noProof/>
        </w:rPr>
        <w:drawing>
          <wp:inline distT="0" distB="0" distL="0" distR="0" wp14:anchorId="52FEF25D" wp14:editId="19A4BB6B">
            <wp:extent cx="3600000" cy="2450729"/>
            <wp:effectExtent l="0" t="0" r="63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000" cy="2450729"/>
                    </a:xfrm>
                    <a:prstGeom prst="rect">
                      <a:avLst/>
                    </a:prstGeom>
                    <a:noFill/>
                    <a:ln>
                      <a:noFill/>
                    </a:ln>
                    <a:effectLst/>
                  </pic:spPr>
                </pic:pic>
              </a:graphicData>
            </a:graphic>
          </wp:inline>
        </w:drawing>
      </w:r>
    </w:p>
    <w:p w14:paraId="42827CDE" w14:textId="28E74E5A" w:rsidR="00C526D7" w:rsidRPr="001A7E42" w:rsidRDefault="00C526D7" w:rsidP="00C526D7">
      <w:pPr>
        <w:pStyle w:val="Caption"/>
      </w:pPr>
      <w:r>
        <w:t xml:space="preserve">Figure </w:t>
      </w:r>
      <w:r w:rsidR="00902FA9">
        <w:t>3</w:t>
      </w:r>
      <w:r>
        <w:t>. Sr/Y vs Y showing the typical ranges for fertile porphyry Cu magmas.</w:t>
      </w:r>
    </w:p>
    <w:p w14:paraId="22FD2864" w14:textId="580A5873" w:rsidR="00C526D7" w:rsidRDefault="00C526D7" w:rsidP="00C526D7">
      <w:pPr>
        <w:rPr>
          <w:lang w:val="en-US"/>
        </w:rPr>
      </w:pPr>
      <w:r w:rsidRPr="001A7E42">
        <w:rPr>
          <w:lang w:val="en-US"/>
        </w:rPr>
        <w:t xml:space="preserve">High water contents </w:t>
      </w:r>
      <w:r>
        <w:rPr>
          <w:lang w:val="en-US"/>
        </w:rPr>
        <w:t>during</w:t>
      </w:r>
      <w:r w:rsidRPr="001A7E42">
        <w:rPr>
          <w:lang w:val="en-US"/>
        </w:rPr>
        <w:t xml:space="preserve"> high pressure </w:t>
      </w:r>
      <w:r>
        <w:rPr>
          <w:lang w:val="en-US"/>
        </w:rPr>
        <w:t>melting</w:t>
      </w:r>
      <w:r w:rsidRPr="001A7E42">
        <w:rPr>
          <w:lang w:val="en-US"/>
        </w:rPr>
        <w:t xml:space="preserve"> leads to complete melting of plagioclase</w:t>
      </w:r>
      <w:r>
        <w:rPr>
          <w:lang w:val="en-US"/>
        </w:rPr>
        <w:t xml:space="preserve">, that is, melting of a hornblende-bearing source region. High water content also lowers </w:t>
      </w:r>
      <w:r w:rsidRPr="001A7E42">
        <w:rPr>
          <w:lang w:val="en-US"/>
        </w:rPr>
        <w:t>the plagioclase crystallization temperature. This generates magmas with a high Sr content</w:t>
      </w:r>
      <w:r w:rsidR="00F25B86">
        <w:rPr>
          <w:lang w:val="en-US"/>
        </w:rPr>
        <w:t>, as Sr is mostly incorporated in plagioclase</w:t>
      </w:r>
      <w:r w:rsidRPr="001A7E42">
        <w:rPr>
          <w:lang w:val="en-US"/>
        </w:rPr>
        <w:t xml:space="preserve">. </w:t>
      </w:r>
      <w:r w:rsidR="00F25B86">
        <w:rPr>
          <w:lang w:val="en-US"/>
        </w:rPr>
        <w:t xml:space="preserve">Garnet has a high partition coefficient for heavy rare earth elements, including Y, therefore, A garnet-stable residue produces melts with a low Y content. Because of their stability at high pressure, fractionation of garnets is an indicator of thick crust (&gt;30km, </w:t>
      </w:r>
      <w:proofErr w:type="spellStart"/>
      <w:r w:rsidR="00F25B86">
        <w:rPr>
          <w:rFonts w:ascii="Arial" w:hAnsi="Arial" w:cs="Arial"/>
          <w:color w:val="222222"/>
          <w:sz w:val="20"/>
          <w:szCs w:val="20"/>
        </w:rPr>
        <w:t>Chiaradia</w:t>
      </w:r>
      <w:proofErr w:type="spellEnd"/>
      <w:r w:rsidR="00F25B86">
        <w:rPr>
          <w:rFonts w:ascii="Arial" w:hAnsi="Arial" w:cs="Arial"/>
          <w:color w:val="222222"/>
          <w:sz w:val="20"/>
          <w:szCs w:val="20"/>
        </w:rPr>
        <w:t xml:space="preserve">, 2012) </w:t>
      </w:r>
      <w:r w:rsidRPr="001A7E42">
        <w:rPr>
          <w:lang w:val="en-US"/>
        </w:rPr>
        <w:t>High Sr/Y and low total Y is a signature that is observed in porphyry Cu magmas</w:t>
      </w:r>
      <w:r>
        <w:rPr>
          <w:lang w:val="en-US"/>
        </w:rPr>
        <w:t xml:space="preserve"> (fig </w:t>
      </w:r>
      <w:r w:rsidR="00902FA9">
        <w:rPr>
          <w:lang w:val="en-US"/>
        </w:rPr>
        <w:t>3</w:t>
      </w:r>
      <w:r>
        <w:rPr>
          <w:lang w:val="en-US"/>
        </w:rPr>
        <w:t xml:space="preserve">). The interpretation of this signature is that </w:t>
      </w:r>
      <w:r w:rsidRPr="001A7E42">
        <w:rPr>
          <w:lang w:val="en-US"/>
        </w:rPr>
        <w:t xml:space="preserve">it is indicative of garnet </w:t>
      </w:r>
      <w:r>
        <w:rPr>
          <w:lang w:val="en-US"/>
        </w:rPr>
        <w:t xml:space="preserve">and hornblende </w:t>
      </w:r>
      <w:r w:rsidRPr="001A7E42">
        <w:rPr>
          <w:lang w:val="en-US"/>
        </w:rPr>
        <w:t xml:space="preserve">fractionation </w:t>
      </w:r>
      <w:r>
        <w:rPr>
          <w:lang w:val="en-US"/>
        </w:rPr>
        <w:t>in a hydrous melt with</w:t>
      </w:r>
      <w:r w:rsidRPr="001A7E42">
        <w:rPr>
          <w:lang w:val="en-US"/>
        </w:rPr>
        <w:t xml:space="preserve"> a lack of high temperature plagioclase crystallization</w:t>
      </w:r>
      <w:r w:rsidR="00F25B86">
        <w:rPr>
          <w:lang w:val="en-US"/>
        </w:rPr>
        <w:t>.</w:t>
      </w:r>
      <w:r>
        <w:rPr>
          <w:lang w:val="en-US"/>
        </w:rPr>
        <w:t xml:space="preserve"> </w:t>
      </w:r>
    </w:p>
    <w:p w14:paraId="650352B4" w14:textId="42BE9D15" w:rsidR="00C526D7" w:rsidRDefault="00F25B86" w:rsidP="00C526D7">
      <w:pPr>
        <w:rPr>
          <w:lang w:val="en-US"/>
        </w:rPr>
      </w:pPr>
      <w:r>
        <w:rPr>
          <w:lang w:val="en-US"/>
        </w:rPr>
        <w:t xml:space="preserve">The data in figure 3 includes 30,000 assays from an entire resource drill-out on a porphyry Cu deposit. It is inadvisable to use this plot on assays from altered rocks because Sr is so mobile during hydrothermal alteration. However, in this case the high Sr/ Y rocks still plot mostly as a tight cluster indicating that in most of these rocks, there has been little mobility of Sr. Within the mineralized zone primary plagioclase was altered to albite plus anhydrite, and the Sr along with Ca was retained in anhydrite. Significant Sr depletion only occurs within domains of acid alteration. </w:t>
      </w:r>
    </w:p>
    <w:p w14:paraId="5EBF5591" w14:textId="77777777" w:rsidR="0042540B" w:rsidRDefault="0042540B" w:rsidP="0042540B">
      <w:pPr>
        <w:keepNext/>
      </w:pPr>
      <w:r w:rsidRPr="0042540B">
        <w:rPr>
          <w:noProof/>
        </w:rPr>
        <w:lastRenderedPageBreak/>
        <w:drawing>
          <wp:inline distT="0" distB="0" distL="0" distR="0" wp14:anchorId="423163BE" wp14:editId="1736C426">
            <wp:extent cx="5037455" cy="22453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7455" cy="2245360"/>
                    </a:xfrm>
                    <a:prstGeom prst="rect">
                      <a:avLst/>
                    </a:prstGeom>
                    <a:noFill/>
                    <a:ln>
                      <a:noFill/>
                    </a:ln>
                  </pic:spPr>
                </pic:pic>
              </a:graphicData>
            </a:graphic>
          </wp:inline>
        </w:drawing>
      </w:r>
    </w:p>
    <w:p w14:paraId="54BF765F" w14:textId="1693DBA9" w:rsidR="009F6D41" w:rsidRPr="001A7E42" w:rsidRDefault="0042540B" w:rsidP="0042540B">
      <w:pPr>
        <w:pStyle w:val="Caption"/>
      </w:pPr>
      <w:r>
        <w:t xml:space="preserve">Figure </w:t>
      </w:r>
      <w:r w:rsidR="00F25B86">
        <w:t>4</w:t>
      </w:r>
      <w:r>
        <w:t xml:space="preserve">. Sc versus Ni and Sc vs Cu. The arrows show the expected Ni and Cu contents at a given Sc level. </w:t>
      </w:r>
      <w:proofErr w:type="spellStart"/>
      <w:r>
        <w:t>Sulfur</w:t>
      </w:r>
      <w:proofErr w:type="spellEnd"/>
      <w:r>
        <w:t xml:space="preserve"> saturation in the melt results in stripping of Ni and Cu from the silicate melt.</w:t>
      </w:r>
    </w:p>
    <w:p w14:paraId="596301CF" w14:textId="77777777" w:rsidR="0048579F" w:rsidRDefault="00C02DE0" w:rsidP="001A7E42">
      <w:pPr>
        <w:rPr>
          <w:lang w:val="en-US"/>
        </w:rPr>
      </w:pPr>
      <w:r>
        <w:rPr>
          <w:lang w:val="en-US"/>
        </w:rPr>
        <w:t xml:space="preserve">Figures 4, 5, 6 and 7 were created from the same data set. These are analyses of outcrop samples from the Mount Read </w:t>
      </w:r>
      <w:proofErr w:type="spellStart"/>
      <w:r>
        <w:rPr>
          <w:lang w:val="en-US"/>
        </w:rPr>
        <w:t>Volcanics</w:t>
      </w:r>
      <w:proofErr w:type="spellEnd"/>
      <w:r>
        <w:rPr>
          <w:lang w:val="en-US"/>
        </w:rPr>
        <w:t xml:space="preserve"> in western Tasmania, and these rocks host several significant VMS deposits. This data was selected as a type example of fractionation in moderately oxidized mid-crustal magmas. The dacitic to rhyolitic rocks are dominantly volcaniclastics. They show a very strong trend of fractional crystallization of magnetite and plagioclase, and the most evolved rocks have fractionated biotite and zircon. One of the VMS horizons in the Mount Read </w:t>
      </w:r>
      <w:proofErr w:type="spellStart"/>
      <w:r>
        <w:rPr>
          <w:lang w:val="en-US"/>
        </w:rPr>
        <w:t>Volcanics</w:t>
      </w:r>
      <w:proofErr w:type="spellEnd"/>
      <w:r>
        <w:rPr>
          <w:lang w:val="en-US"/>
        </w:rPr>
        <w:t xml:space="preserve"> is located at the top of the most fractionated unit.</w:t>
      </w:r>
    </w:p>
    <w:p w14:paraId="5A396F46" w14:textId="5817C288" w:rsidR="001A7E42" w:rsidRDefault="001A7E42" w:rsidP="001A7E42">
      <w:pPr>
        <w:rPr>
          <w:lang w:val="en-US"/>
        </w:rPr>
      </w:pPr>
      <w:r w:rsidRPr="001A7E42">
        <w:rPr>
          <w:lang w:val="en-US"/>
        </w:rPr>
        <w:t xml:space="preserve">In unaltered rocks Cu is highly correlated with Sc, with a ratio of about 2.5:1, and in igneous rocks that do not contain olivine or CPX, Ni is highly correlated with Sc with a ratio of about 1.5:1. However in melts that have become sulfur saturated, Ni and Co are sequestered by the sulfide droplets and the silicate melt is left depleted in Ni and Co. With further sulfur saturation, an immiscible Fe-Cu-S (Au) phase is formed. It is very common for melts that have undergone fractional crystallization of magnetite to show depletion of Ni and Cu </w:t>
      </w:r>
      <w:r w:rsidR="00211EBB">
        <w:rPr>
          <w:lang w:val="en-US"/>
        </w:rPr>
        <w:t>in</w:t>
      </w:r>
      <w:r w:rsidRPr="001A7E42">
        <w:rPr>
          <w:lang w:val="en-US"/>
        </w:rPr>
        <w:t xml:space="preserve"> the remaining silicate</w:t>
      </w:r>
      <w:r w:rsidR="00211EBB">
        <w:rPr>
          <w:lang w:val="en-US"/>
        </w:rPr>
        <w:t xml:space="preserve"> melt as a result of sulfur saturation</w:t>
      </w:r>
      <w:r w:rsidR="0048579F">
        <w:rPr>
          <w:lang w:val="en-US"/>
        </w:rPr>
        <w:t xml:space="preserve"> (fig 4)</w:t>
      </w:r>
      <w:r w:rsidRPr="001A7E42">
        <w:rPr>
          <w:lang w:val="en-US"/>
        </w:rPr>
        <w:t xml:space="preserve">. </w:t>
      </w:r>
      <w:r w:rsidR="00A2231C" w:rsidRPr="005A4A51">
        <w:rPr>
          <w:color w:val="000000" w:themeColor="text1"/>
          <w:lang w:val="en-US"/>
        </w:rPr>
        <w:t>Jenner et al (201</w:t>
      </w:r>
      <w:r w:rsidR="005A4A51" w:rsidRPr="005A4A51">
        <w:rPr>
          <w:color w:val="000000" w:themeColor="text1"/>
          <w:lang w:val="en-US"/>
        </w:rPr>
        <w:t>0</w:t>
      </w:r>
      <w:r w:rsidR="00A2231C" w:rsidRPr="005A4A51">
        <w:rPr>
          <w:color w:val="000000" w:themeColor="text1"/>
          <w:lang w:val="en-US"/>
        </w:rPr>
        <w:t xml:space="preserve">) referred to this as </w:t>
      </w:r>
      <w:r w:rsidR="00BE4389">
        <w:rPr>
          <w:color w:val="000000" w:themeColor="text1"/>
          <w:lang w:val="en-US"/>
        </w:rPr>
        <w:t>“</w:t>
      </w:r>
      <w:r w:rsidR="00A2231C" w:rsidRPr="005A4A51">
        <w:rPr>
          <w:color w:val="000000" w:themeColor="text1"/>
          <w:lang w:val="en-US"/>
        </w:rPr>
        <w:t>The Magnetite Crisis</w:t>
      </w:r>
      <w:r w:rsidR="00BE4389">
        <w:rPr>
          <w:color w:val="000000" w:themeColor="text1"/>
          <w:lang w:val="en-US"/>
        </w:rPr>
        <w:t>”</w:t>
      </w:r>
      <w:r w:rsidR="00A2231C" w:rsidRPr="005A4A51">
        <w:rPr>
          <w:color w:val="000000" w:themeColor="text1"/>
          <w:lang w:val="en-US"/>
        </w:rPr>
        <w:t xml:space="preserve">. </w:t>
      </w:r>
      <w:r w:rsidR="005A4A51">
        <w:rPr>
          <w:lang w:val="en-US"/>
        </w:rPr>
        <w:t xml:space="preserve">This phenomenon is observed in a diverse range of magma compositions in many different geological environments. </w:t>
      </w:r>
      <w:r w:rsidR="00A23ED5">
        <w:rPr>
          <w:lang w:val="en-US"/>
        </w:rPr>
        <w:t>For example, t</w:t>
      </w:r>
      <w:r w:rsidR="00A2231C" w:rsidRPr="00A2231C">
        <w:rPr>
          <w:lang w:val="en-US"/>
        </w:rPr>
        <w:t xml:space="preserve">he coupling of magnetite fractionation and sulfur saturation is easily mapped during in situ fractionation in layered gabbro sills. </w:t>
      </w:r>
      <w:r w:rsidR="00A23ED5">
        <w:rPr>
          <w:lang w:val="en-US"/>
        </w:rPr>
        <w:t>More commonly, b</w:t>
      </w:r>
      <w:r w:rsidR="00A2231C">
        <w:rPr>
          <w:lang w:val="en-US"/>
        </w:rPr>
        <w:t xml:space="preserve">atches of magma that have had residence time in mid crustal magma chambers and fractionated magnetite prior to being emplaced in the upper crust show V/Sc ratios lower than 7, and Cu and Ni contents that are depleted relative to Sc. Once magmas have formed immiscible sulfides, Cu and Au </w:t>
      </w:r>
      <w:r w:rsidR="00A36921">
        <w:rPr>
          <w:lang w:val="en-US"/>
        </w:rPr>
        <w:t>are</w:t>
      </w:r>
      <w:r w:rsidR="00A2231C">
        <w:rPr>
          <w:lang w:val="en-US"/>
        </w:rPr>
        <w:t xml:space="preserve"> stripped </w:t>
      </w:r>
      <w:r w:rsidR="00A36921">
        <w:rPr>
          <w:lang w:val="en-US"/>
        </w:rPr>
        <w:t xml:space="preserve">from the melt </w:t>
      </w:r>
      <w:r w:rsidR="00A2231C">
        <w:rPr>
          <w:lang w:val="en-US"/>
        </w:rPr>
        <w:t xml:space="preserve">and the </w:t>
      </w:r>
      <w:r w:rsidRPr="00A2231C">
        <w:rPr>
          <w:lang w:val="en-US"/>
        </w:rPr>
        <w:t>ore-forming potential of those magmas</w:t>
      </w:r>
      <w:r w:rsidR="00A2231C">
        <w:rPr>
          <w:lang w:val="en-US"/>
        </w:rPr>
        <w:t xml:space="preserve"> is reduced</w:t>
      </w:r>
      <w:r w:rsidRPr="00A2231C">
        <w:rPr>
          <w:lang w:val="en-US"/>
        </w:rPr>
        <w:t xml:space="preserve">. </w:t>
      </w:r>
      <w:r w:rsidR="0048579F">
        <w:rPr>
          <w:lang w:val="en-US"/>
        </w:rPr>
        <w:t>This can be recognized as depletion due to S saturation in the melt rather than leaching of the metals by hydrothermal fluids because the Cu and Ni is depleted, but Zn and Mn are not.</w:t>
      </w:r>
    </w:p>
    <w:p w14:paraId="320462E3" w14:textId="0BEACD2A" w:rsidR="006223D0" w:rsidRDefault="0048579F" w:rsidP="001A7E42">
      <w:pPr>
        <w:rPr>
          <w:lang w:val="en-US"/>
        </w:rPr>
      </w:pPr>
      <w:r w:rsidRPr="0048579F">
        <w:rPr>
          <w:noProof/>
        </w:rPr>
        <w:lastRenderedPageBreak/>
        <w:drawing>
          <wp:inline distT="0" distB="0" distL="0" distR="0" wp14:anchorId="388BDE7D" wp14:editId="676F1B86">
            <wp:extent cx="3600000" cy="2265057"/>
            <wp:effectExtent l="0" t="0" r="63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2265057"/>
                    </a:xfrm>
                    <a:prstGeom prst="rect">
                      <a:avLst/>
                    </a:prstGeom>
                    <a:noFill/>
                    <a:ln>
                      <a:noFill/>
                    </a:ln>
                  </pic:spPr>
                </pic:pic>
              </a:graphicData>
            </a:graphic>
          </wp:inline>
        </w:drawing>
      </w:r>
    </w:p>
    <w:p w14:paraId="0CF3A430" w14:textId="3314201A" w:rsidR="000012B3" w:rsidRPr="00A2231C" w:rsidRDefault="008C3F7E" w:rsidP="008C3F7E">
      <w:pPr>
        <w:pStyle w:val="Caption"/>
        <w:rPr>
          <w:color w:val="auto"/>
        </w:rPr>
      </w:pPr>
      <w:r>
        <w:t xml:space="preserve">Figure </w:t>
      </w:r>
      <w:r w:rsidR="005756E2">
        <w:t>5</w:t>
      </w:r>
      <w:r>
        <w:t xml:space="preserve">. Hf versus </w:t>
      </w:r>
      <w:proofErr w:type="spellStart"/>
      <w:r>
        <w:t>Zr</w:t>
      </w:r>
      <w:proofErr w:type="spellEnd"/>
      <w:r>
        <w:t xml:space="preserve">, showing decreasing total </w:t>
      </w:r>
      <w:proofErr w:type="spellStart"/>
      <w:r>
        <w:t>Zr</w:t>
      </w:r>
      <w:proofErr w:type="spellEnd"/>
      <w:r>
        <w:t xml:space="preserve"> and increasing Hf/</w:t>
      </w:r>
      <w:proofErr w:type="spellStart"/>
      <w:r>
        <w:t>Zr</w:t>
      </w:r>
      <w:proofErr w:type="spellEnd"/>
      <w:r>
        <w:t xml:space="preserve"> as a result of fractional crystallization of zircons.</w:t>
      </w:r>
    </w:p>
    <w:p w14:paraId="285ADD8E" w14:textId="57552AD1" w:rsidR="00EB7AAE" w:rsidRDefault="00F25B86" w:rsidP="001A7E42">
      <w:pPr>
        <w:rPr>
          <w:lang w:val="en-US"/>
        </w:rPr>
      </w:pPr>
      <w:r>
        <w:rPr>
          <w:lang w:val="en-US"/>
        </w:rPr>
        <w:t xml:space="preserve">Other trace elements are proxies for fractionation of specific minerals. </w:t>
      </w:r>
      <w:r w:rsidRPr="001A7E42">
        <w:rPr>
          <w:lang w:val="en-US"/>
        </w:rPr>
        <w:t xml:space="preserve">The only </w:t>
      </w:r>
      <w:r>
        <w:rPr>
          <w:lang w:val="en-US"/>
        </w:rPr>
        <w:t>mineral</w:t>
      </w:r>
      <w:r w:rsidRPr="001A7E42">
        <w:rPr>
          <w:lang w:val="en-US"/>
        </w:rPr>
        <w:t xml:space="preserve"> where Hf resides </w:t>
      </w:r>
      <w:r>
        <w:rPr>
          <w:lang w:val="en-US"/>
        </w:rPr>
        <w:t xml:space="preserve">is in </w:t>
      </w:r>
      <w:r w:rsidRPr="001A7E42">
        <w:rPr>
          <w:lang w:val="en-US"/>
        </w:rPr>
        <w:t>zircon</w:t>
      </w:r>
      <w:r>
        <w:rPr>
          <w:lang w:val="en-US"/>
        </w:rPr>
        <w:t xml:space="preserve">s, where it substitutes for </w:t>
      </w:r>
      <w:proofErr w:type="spellStart"/>
      <w:r>
        <w:rPr>
          <w:lang w:val="en-US"/>
        </w:rPr>
        <w:t>Zr</w:t>
      </w:r>
      <w:proofErr w:type="spellEnd"/>
      <w:r w:rsidRPr="001A7E42">
        <w:rPr>
          <w:lang w:val="en-US"/>
        </w:rPr>
        <w:t xml:space="preserve">. In the vast majority of data sets, Hf vs </w:t>
      </w:r>
      <w:proofErr w:type="spellStart"/>
      <w:r w:rsidRPr="001A7E42">
        <w:rPr>
          <w:lang w:val="en-US"/>
        </w:rPr>
        <w:t>Zr</w:t>
      </w:r>
      <w:proofErr w:type="spellEnd"/>
      <w:r w:rsidRPr="001A7E42">
        <w:rPr>
          <w:lang w:val="en-US"/>
        </w:rPr>
        <w:t xml:space="preserve"> plots with a remarkably linear correlation, with a ratio of 1:3</w:t>
      </w:r>
      <w:r>
        <w:rPr>
          <w:lang w:val="en-US"/>
        </w:rPr>
        <w:t>6</w:t>
      </w:r>
      <w:r w:rsidRPr="001A7E42">
        <w:rPr>
          <w:lang w:val="en-US"/>
        </w:rPr>
        <w:t>. Hf is less compatible</w:t>
      </w:r>
      <w:r>
        <w:rPr>
          <w:lang w:val="en-US"/>
        </w:rPr>
        <w:t xml:space="preserve"> and less abundant</w:t>
      </w:r>
      <w:r w:rsidRPr="001A7E42">
        <w:rPr>
          <w:lang w:val="en-US"/>
        </w:rPr>
        <w:t xml:space="preserve"> than </w:t>
      </w:r>
      <w:proofErr w:type="spellStart"/>
      <w:r w:rsidRPr="001A7E42">
        <w:rPr>
          <w:lang w:val="en-US"/>
        </w:rPr>
        <w:t>Zr</w:t>
      </w:r>
      <w:proofErr w:type="spellEnd"/>
      <w:r w:rsidRPr="001A7E42">
        <w:rPr>
          <w:lang w:val="en-US"/>
        </w:rPr>
        <w:t>, so as zircons crystallize, the Hf/</w:t>
      </w:r>
      <w:proofErr w:type="spellStart"/>
      <w:r w:rsidRPr="001A7E42">
        <w:rPr>
          <w:lang w:val="en-US"/>
        </w:rPr>
        <w:t>Zr</w:t>
      </w:r>
      <w:proofErr w:type="spellEnd"/>
      <w:r w:rsidRPr="001A7E42">
        <w:rPr>
          <w:lang w:val="en-US"/>
        </w:rPr>
        <w:t xml:space="preserve"> ratio in the melt increases. </w:t>
      </w:r>
      <w:r>
        <w:rPr>
          <w:lang w:val="en-US"/>
        </w:rPr>
        <w:t>Zircon crystals are typically zoned, with higher Hf/</w:t>
      </w:r>
      <w:proofErr w:type="spellStart"/>
      <w:r>
        <w:rPr>
          <w:lang w:val="en-US"/>
        </w:rPr>
        <w:t>Zr</w:t>
      </w:r>
      <w:proofErr w:type="spellEnd"/>
      <w:r>
        <w:rPr>
          <w:lang w:val="en-US"/>
        </w:rPr>
        <w:t xml:space="preserve"> in the rims. Depending on the composition of the melt, zircon saturation temperatures are generally around 750 to 800</w:t>
      </w:r>
      <w:r w:rsidRPr="00EB7AAE">
        <w:rPr>
          <w:vertAlign w:val="superscript"/>
          <w:lang w:val="en-US"/>
        </w:rPr>
        <w:t>o</w:t>
      </w:r>
      <w:r>
        <w:rPr>
          <w:vertAlign w:val="superscript"/>
          <w:lang w:val="en-US"/>
        </w:rPr>
        <w:t xml:space="preserve"> </w:t>
      </w:r>
      <w:r>
        <w:rPr>
          <w:lang w:val="en-US"/>
        </w:rPr>
        <w:t>(</w:t>
      </w:r>
      <w:r w:rsidRPr="005756E2">
        <w:rPr>
          <w:lang w:val="en-US"/>
        </w:rPr>
        <w:t>Watson and Harrison, 1983</w:t>
      </w:r>
      <w:r>
        <w:rPr>
          <w:lang w:val="en-US"/>
        </w:rPr>
        <w:t xml:space="preserve">). </w:t>
      </w:r>
      <w:r w:rsidR="00EB7AAE">
        <w:rPr>
          <w:lang w:val="en-US"/>
        </w:rPr>
        <w:t>At those temperatures late in the crystallization history, magmas are too viscous to allow crystal settling. Therefore, even though the zircons are compositionally zoned, the bulk Hf/</w:t>
      </w:r>
      <w:proofErr w:type="spellStart"/>
      <w:r w:rsidR="00EB7AAE">
        <w:rPr>
          <w:lang w:val="en-US"/>
        </w:rPr>
        <w:t>Zr</w:t>
      </w:r>
      <w:proofErr w:type="spellEnd"/>
      <w:r w:rsidR="00EB7AAE">
        <w:rPr>
          <w:lang w:val="en-US"/>
        </w:rPr>
        <w:t xml:space="preserve"> ratio of the melt is preserved</w:t>
      </w:r>
      <w:r w:rsidR="00174BD7">
        <w:rPr>
          <w:lang w:val="en-US"/>
        </w:rPr>
        <w:t xml:space="preserve"> (</w:t>
      </w:r>
      <w:proofErr w:type="spellStart"/>
      <w:r w:rsidR="00174BD7">
        <w:rPr>
          <w:rFonts w:ascii="Arial" w:hAnsi="Arial" w:cs="Arial"/>
          <w:color w:val="222222"/>
          <w:sz w:val="20"/>
          <w:szCs w:val="20"/>
        </w:rPr>
        <w:t>Breiter</w:t>
      </w:r>
      <w:proofErr w:type="spellEnd"/>
      <w:r w:rsidR="00174BD7">
        <w:rPr>
          <w:rFonts w:ascii="Arial" w:hAnsi="Arial" w:cs="Arial"/>
          <w:color w:val="222222"/>
          <w:sz w:val="20"/>
          <w:szCs w:val="20"/>
        </w:rPr>
        <w:t xml:space="preserve">, K., and </w:t>
      </w:r>
      <w:proofErr w:type="spellStart"/>
      <w:r w:rsidR="00174BD7">
        <w:rPr>
          <w:rFonts w:ascii="Arial" w:hAnsi="Arial" w:cs="Arial"/>
          <w:color w:val="222222"/>
          <w:sz w:val="20"/>
          <w:szCs w:val="20"/>
        </w:rPr>
        <w:t>Škoda</w:t>
      </w:r>
      <w:proofErr w:type="spellEnd"/>
      <w:r w:rsidR="00174BD7">
        <w:rPr>
          <w:rFonts w:ascii="Arial" w:hAnsi="Arial" w:cs="Arial"/>
          <w:color w:val="222222"/>
          <w:sz w:val="20"/>
          <w:szCs w:val="20"/>
        </w:rPr>
        <w:t>, R, 2017)</w:t>
      </w:r>
      <w:r w:rsidR="00EB7AAE">
        <w:rPr>
          <w:lang w:val="en-US"/>
        </w:rPr>
        <w:t xml:space="preserve">. </w:t>
      </w:r>
    </w:p>
    <w:p w14:paraId="29A83647" w14:textId="435320EC" w:rsidR="005756E2" w:rsidRDefault="005756E2" w:rsidP="005756E2">
      <w:pPr>
        <w:rPr>
          <w:lang w:val="en-US"/>
        </w:rPr>
      </w:pPr>
      <w:r>
        <w:rPr>
          <w:lang w:val="en-US"/>
        </w:rPr>
        <w:t>I</w:t>
      </w:r>
      <w:r w:rsidRPr="001A7E42">
        <w:rPr>
          <w:lang w:val="en-US"/>
        </w:rPr>
        <w:t>n very hydrous melts, and especially in fluorine rich melts, silicate chains are de-polymerized</w:t>
      </w:r>
      <w:r>
        <w:rPr>
          <w:lang w:val="en-US"/>
        </w:rPr>
        <w:t xml:space="preserve"> because the hydroxylation breaks the polymerizing Si-O-Al bonds (Burnham, 1979; </w:t>
      </w:r>
      <w:proofErr w:type="spellStart"/>
      <w:r>
        <w:rPr>
          <w:lang w:val="en-US"/>
        </w:rPr>
        <w:t>Stopler</w:t>
      </w:r>
      <w:proofErr w:type="spellEnd"/>
      <w:r>
        <w:rPr>
          <w:lang w:val="en-US"/>
        </w:rPr>
        <w:t>, 1982). This results in a decrease of</w:t>
      </w:r>
      <w:r w:rsidRPr="001A7E42">
        <w:rPr>
          <w:lang w:val="en-US"/>
        </w:rPr>
        <w:t xml:space="preserve"> viscosity </w:t>
      </w:r>
      <w:r>
        <w:rPr>
          <w:lang w:val="en-US"/>
        </w:rPr>
        <w:t>and lowering of the</w:t>
      </w:r>
      <w:r w:rsidRPr="001A7E42">
        <w:rPr>
          <w:lang w:val="en-US"/>
        </w:rPr>
        <w:t xml:space="preserve"> solidus. In these circumstances, fractional crystallization of zircons can occur. Crystal settling of zircons in a magma chamber results in lower total </w:t>
      </w:r>
      <w:proofErr w:type="spellStart"/>
      <w:r w:rsidRPr="001A7E42">
        <w:rPr>
          <w:lang w:val="en-US"/>
        </w:rPr>
        <w:t>Zr</w:t>
      </w:r>
      <w:proofErr w:type="spellEnd"/>
      <w:r w:rsidRPr="001A7E42">
        <w:rPr>
          <w:lang w:val="en-US"/>
        </w:rPr>
        <w:t xml:space="preserve"> in the remaining melt, but fractionation leads to an increased Hf/</w:t>
      </w:r>
      <w:proofErr w:type="spellStart"/>
      <w:r w:rsidRPr="001A7E42">
        <w:rPr>
          <w:lang w:val="en-US"/>
        </w:rPr>
        <w:t>Zr</w:t>
      </w:r>
      <w:proofErr w:type="spellEnd"/>
      <w:r w:rsidRPr="001A7E42">
        <w:rPr>
          <w:lang w:val="en-US"/>
        </w:rPr>
        <w:t xml:space="preserve"> ratio. Reduced total </w:t>
      </w:r>
      <w:proofErr w:type="spellStart"/>
      <w:r w:rsidRPr="001A7E42">
        <w:rPr>
          <w:lang w:val="en-US"/>
        </w:rPr>
        <w:t>Zr</w:t>
      </w:r>
      <w:proofErr w:type="spellEnd"/>
      <w:r w:rsidRPr="001A7E42">
        <w:rPr>
          <w:lang w:val="en-US"/>
        </w:rPr>
        <w:t xml:space="preserve"> content, but high Hf/</w:t>
      </w:r>
      <w:proofErr w:type="spellStart"/>
      <w:r w:rsidRPr="001A7E42">
        <w:rPr>
          <w:lang w:val="en-US"/>
        </w:rPr>
        <w:t>Zr</w:t>
      </w:r>
      <w:proofErr w:type="spellEnd"/>
      <w:r w:rsidRPr="001A7E42">
        <w:rPr>
          <w:lang w:val="en-US"/>
        </w:rPr>
        <w:t xml:space="preserve"> ratio is a clear indicator of fractional crystallization of zircons</w:t>
      </w:r>
      <w:r>
        <w:rPr>
          <w:lang w:val="en-US"/>
        </w:rPr>
        <w:t xml:space="preserve"> (fig 5)</w:t>
      </w:r>
      <w:r w:rsidRPr="001A7E42">
        <w:rPr>
          <w:lang w:val="en-US"/>
        </w:rPr>
        <w:t xml:space="preserve">. </w:t>
      </w:r>
      <w:r>
        <w:rPr>
          <w:lang w:val="en-US"/>
        </w:rPr>
        <w:t xml:space="preserve">Felsic magmas that are related to hydrothermal mineral deposits always have this signature, for example, tin granites. </w:t>
      </w:r>
    </w:p>
    <w:p w14:paraId="15F1510A" w14:textId="45AA19AF" w:rsidR="002008DE" w:rsidRDefault="002008DE" w:rsidP="001A7E42">
      <w:pPr>
        <w:rPr>
          <w:lang w:val="en-US"/>
        </w:rPr>
      </w:pPr>
    </w:p>
    <w:p w14:paraId="0A326AC1" w14:textId="4E103427" w:rsidR="002008DE" w:rsidRPr="006223D0" w:rsidRDefault="0048579F" w:rsidP="006223D0">
      <w:pPr>
        <w:rPr>
          <w:lang w:val="en-US"/>
        </w:rPr>
      </w:pPr>
      <w:r w:rsidRPr="0048579F">
        <w:rPr>
          <w:noProof/>
        </w:rPr>
        <w:drawing>
          <wp:inline distT="0" distB="0" distL="0" distR="0" wp14:anchorId="6F07496B" wp14:editId="2DC36CB2">
            <wp:extent cx="3600000" cy="2265057"/>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2265057"/>
                    </a:xfrm>
                    <a:prstGeom prst="rect">
                      <a:avLst/>
                    </a:prstGeom>
                    <a:noFill/>
                    <a:ln>
                      <a:noFill/>
                    </a:ln>
                  </pic:spPr>
                </pic:pic>
              </a:graphicData>
            </a:graphic>
          </wp:inline>
        </w:drawing>
      </w:r>
    </w:p>
    <w:p w14:paraId="6080BC45" w14:textId="414176B8" w:rsidR="002008DE" w:rsidRDefault="002008DE" w:rsidP="002008DE">
      <w:pPr>
        <w:pStyle w:val="Caption"/>
        <w:rPr>
          <w:lang w:val="en-US"/>
        </w:rPr>
      </w:pPr>
      <w:r>
        <w:t xml:space="preserve">Figure </w:t>
      </w:r>
      <w:r w:rsidR="005756E2">
        <w:t>6</w:t>
      </w:r>
      <w:r>
        <w:t xml:space="preserve">. </w:t>
      </w:r>
      <w:proofErr w:type="spellStart"/>
      <w:r>
        <w:t>Ti</w:t>
      </w:r>
      <w:proofErr w:type="spellEnd"/>
      <w:r>
        <w:t xml:space="preserve"> versus Nb.</w:t>
      </w:r>
    </w:p>
    <w:p w14:paraId="6071C213" w14:textId="79BCDF45" w:rsidR="005756E2" w:rsidRDefault="005756E2" w:rsidP="005756E2">
      <w:pPr>
        <w:rPr>
          <w:lang w:val="en-US"/>
        </w:rPr>
      </w:pPr>
      <w:r>
        <w:rPr>
          <w:lang w:val="en-US"/>
        </w:rPr>
        <w:lastRenderedPageBreak/>
        <w:t>Mineral</w:t>
      </w:r>
      <w:r w:rsidR="00030F1D">
        <w:rPr>
          <w:lang w:val="en-US"/>
        </w:rPr>
        <w:t>s</w:t>
      </w:r>
      <w:r>
        <w:rPr>
          <w:lang w:val="en-US"/>
        </w:rPr>
        <w:t xml:space="preserve"> that incorporate </w:t>
      </w:r>
      <w:proofErr w:type="spellStart"/>
      <w:r>
        <w:rPr>
          <w:lang w:val="en-US"/>
        </w:rPr>
        <w:t>Ti</w:t>
      </w:r>
      <w:proofErr w:type="spellEnd"/>
      <w:r w:rsidRPr="001A7E42">
        <w:rPr>
          <w:lang w:val="en-US"/>
        </w:rPr>
        <w:t xml:space="preserve"> crystallize early in a crystallization sequence. </w:t>
      </w:r>
      <w:proofErr w:type="spellStart"/>
      <w:r w:rsidRPr="001A7E42">
        <w:rPr>
          <w:lang w:val="en-US"/>
        </w:rPr>
        <w:t>Nb</w:t>
      </w:r>
      <w:proofErr w:type="spellEnd"/>
      <w:r w:rsidRPr="001A7E42">
        <w:rPr>
          <w:lang w:val="en-US"/>
        </w:rPr>
        <w:t xml:space="preserve"> has chemistry that is very much like </w:t>
      </w:r>
      <w:proofErr w:type="spellStart"/>
      <w:r w:rsidRPr="001A7E42">
        <w:rPr>
          <w:lang w:val="en-US"/>
        </w:rPr>
        <w:t>Ti</w:t>
      </w:r>
      <w:proofErr w:type="spellEnd"/>
      <w:r w:rsidRPr="001A7E42">
        <w:rPr>
          <w:lang w:val="en-US"/>
        </w:rPr>
        <w:t xml:space="preserve">, but it has much lower compatibility. In any one batch of magma, </w:t>
      </w:r>
      <w:proofErr w:type="spellStart"/>
      <w:r w:rsidRPr="001A7E42">
        <w:rPr>
          <w:lang w:val="en-US"/>
        </w:rPr>
        <w:t>Ti</w:t>
      </w:r>
      <w:proofErr w:type="spellEnd"/>
      <w:r w:rsidRPr="001A7E42">
        <w:rPr>
          <w:lang w:val="en-US"/>
        </w:rPr>
        <w:t xml:space="preserve"> and </w:t>
      </w:r>
      <w:proofErr w:type="spellStart"/>
      <w:r w:rsidRPr="001A7E42">
        <w:rPr>
          <w:lang w:val="en-US"/>
        </w:rPr>
        <w:t>Nb</w:t>
      </w:r>
      <w:proofErr w:type="spellEnd"/>
      <w:r w:rsidRPr="001A7E42">
        <w:rPr>
          <w:lang w:val="en-US"/>
        </w:rPr>
        <w:t xml:space="preserve"> are highly correlated, but the way in which the </w:t>
      </w:r>
      <w:proofErr w:type="spellStart"/>
      <w:r w:rsidRPr="001A7E42">
        <w:rPr>
          <w:lang w:val="en-US"/>
        </w:rPr>
        <w:t>Ti</w:t>
      </w:r>
      <w:proofErr w:type="spellEnd"/>
      <w:r w:rsidRPr="001A7E42">
        <w:rPr>
          <w:lang w:val="en-US"/>
        </w:rPr>
        <w:t>/</w:t>
      </w:r>
      <w:proofErr w:type="spellStart"/>
      <w:r w:rsidRPr="001A7E42">
        <w:rPr>
          <w:lang w:val="en-US"/>
        </w:rPr>
        <w:t>Nb</w:t>
      </w:r>
      <w:proofErr w:type="spellEnd"/>
      <w:r w:rsidRPr="001A7E42">
        <w:rPr>
          <w:lang w:val="en-US"/>
        </w:rPr>
        <w:t xml:space="preserve"> ratio changes with fractionation depends on which mineral phase is the main repository for </w:t>
      </w:r>
      <w:proofErr w:type="spellStart"/>
      <w:r w:rsidRPr="001A7E42">
        <w:rPr>
          <w:lang w:val="en-US"/>
        </w:rPr>
        <w:t>Ti</w:t>
      </w:r>
      <w:proofErr w:type="spellEnd"/>
      <w:r w:rsidRPr="001A7E42">
        <w:rPr>
          <w:lang w:val="en-US"/>
        </w:rPr>
        <w:t xml:space="preserve">. The example shown in </w:t>
      </w:r>
      <w:r>
        <w:rPr>
          <w:lang w:val="en-US"/>
        </w:rPr>
        <w:t>figure 5</w:t>
      </w:r>
      <w:r w:rsidRPr="001A7E42">
        <w:rPr>
          <w:lang w:val="en-US"/>
        </w:rPr>
        <w:t xml:space="preserve"> has strong fractional crystallization of magnetite and lesser fractionation of biotite</w:t>
      </w:r>
      <w:r>
        <w:rPr>
          <w:lang w:val="en-US"/>
        </w:rPr>
        <w:t xml:space="preserve">. With fractional crystallization of magnetite, </w:t>
      </w:r>
      <w:proofErr w:type="spellStart"/>
      <w:r>
        <w:rPr>
          <w:lang w:val="en-US"/>
        </w:rPr>
        <w:t>Ti</w:t>
      </w:r>
      <w:proofErr w:type="spellEnd"/>
      <w:r>
        <w:rPr>
          <w:lang w:val="en-US"/>
        </w:rPr>
        <w:t xml:space="preserve"> content in the magma may fall to around 1000 ppm, but </w:t>
      </w:r>
      <w:proofErr w:type="spellStart"/>
      <w:r>
        <w:rPr>
          <w:lang w:val="en-US"/>
        </w:rPr>
        <w:t>Nb</w:t>
      </w:r>
      <w:proofErr w:type="spellEnd"/>
      <w:r>
        <w:rPr>
          <w:lang w:val="en-US"/>
        </w:rPr>
        <w:t xml:space="preserve"> contents remain about the same. </w:t>
      </w:r>
      <w:r w:rsidRPr="001A7E42">
        <w:rPr>
          <w:lang w:val="en-US"/>
        </w:rPr>
        <w:t xml:space="preserve">Where biotite is the </w:t>
      </w:r>
      <w:r>
        <w:rPr>
          <w:lang w:val="en-US"/>
        </w:rPr>
        <w:t xml:space="preserve">dominant fractionating </w:t>
      </w:r>
      <w:proofErr w:type="spellStart"/>
      <w:r>
        <w:rPr>
          <w:lang w:val="en-US"/>
        </w:rPr>
        <w:t>Ti</w:t>
      </w:r>
      <w:proofErr w:type="spellEnd"/>
      <w:r>
        <w:rPr>
          <w:lang w:val="en-US"/>
        </w:rPr>
        <w:t xml:space="preserve"> host mineral, </w:t>
      </w:r>
      <w:r w:rsidRPr="001A7E42">
        <w:rPr>
          <w:lang w:val="en-US"/>
        </w:rPr>
        <w:t>(as in a Sn-</w:t>
      </w:r>
      <w:r>
        <w:rPr>
          <w:lang w:val="en-US"/>
        </w:rPr>
        <w:t xml:space="preserve">related </w:t>
      </w:r>
      <w:r w:rsidRPr="001A7E42">
        <w:rPr>
          <w:lang w:val="en-US"/>
        </w:rPr>
        <w:t>granite</w:t>
      </w:r>
      <w:r>
        <w:rPr>
          <w:lang w:val="en-US"/>
        </w:rPr>
        <w:t>s</w:t>
      </w:r>
      <w:r w:rsidRPr="001A7E42">
        <w:rPr>
          <w:lang w:val="en-US"/>
        </w:rPr>
        <w:t xml:space="preserve">), the </w:t>
      </w:r>
      <w:proofErr w:type="spellStart"/>
      <w:r w:rsidRPr="001A7E42">
        <w:rPr>
          <w:lang w:val="en-US"/>
        </w:rPr>
        <w:t>Ti</w:t>
      </w:r>
      <w:proofErr w:type="spellEnd"/>
      <w:r w:rsidRPr="001A7E42">
        <w:rPr>
          <w:lang w:val="en-US"/>
        </w:rPr>
        <w:t xml:space="preserve"> values drop very rapidly and </w:t>
      </w:r>
      <w:proofErr w:type="spellStart"/>
      <w:r w:rsidRPr="001A7E42">
        <w:rPr>
          <w:lang w:val="en-US"/>
        </w:rPr>
        <w:t>Nb</w:t>
      </w:r>
      <w:proofErr w:type="spellEnd"/>
      <w:r w:rsidRPr="001A7E42">
        <w:rPr>
          <w:lang w:val="en-US"/>
        </w:rPr>
        <w:t xml:space="preserve"> increases strongly. In contrast, typical porphyry </w:t>
      </w:r>
      <w:r>
        <w:rPr>
          <w:lang w:val="en-US"/>
        </w:rPr>
        <w:t>copper deposit related</w:t>
      </w:r>
      <w:r w:rsidRPr="001A7E42">
        <w:rPr>
          <w:lang w:val="en-US"/>
        </w:rPr>
        <w:t xml:space="preserve"> magmas always have around 2000 to 4000ppm </w:t>
      </w:r>
      <w:proofErr w:type="spellStart"/>
      <w:r w:rsidRPr="001A7E42">
        <w:rPr>
          <w:lang w:val="en-US"/>
        </w:rPr>
        <w:t>Ti</w:t>
      </w:r>
      <w:proofErr w:type="spellEnd"/>
      <w:r w:rsidRPr="001A7E42">
        <w:rPr>
          <w:lang w:val="en-US"/>
        </w:rPr>
        <w:t xml:space="preserve"> and 2 to 4ppm Nb.</w:t>
      </w:r>
    </w:p>
    <w:p w14:paraId="5FBA9F61" w14:textId="161E4D8A" w:rsidR="00B1170C" w:rsidRDefault="0048579F" w:rsidP="00B1170C">
      <w:pPr>
        <w:keepNext/>
      </w:pPr>
      <w:r w:rsidRPr="0048579F">
        <w:rPr>
          <w:noProof/>
        </w:rPr>
        <w:drawing>
          <wp:inline distT="0" distB="0" distL="0" distR="0" wp14:anchorId="25317416" wp14:editId="3E059BE4">
            <wp:extent cx="3600000" cy="227582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2275825"/>
                    </a:xfrm>
                    <a:prstGeom prst="rect">
                      <a:avLst/>
                    </a:prstGeom>
                    <a:noFill/>
                    <a:ln>
                      <a:noFill/>
                    </a:ln>
                  </pic:spPr>
                </pic:pic>
              </a:graphicData>
            </a:graphic>
          </wp:inline>
        </w:drawing>
      </w:r>
    </w:p>
    <w:p w14:paraId="2A26A39C" w14:textId="56AED1F4" w:rsidR="002008DE" w:rsidRPr="001A7E42" w:rsidRDefault="00B1170C" w:rsidP="00B1170C">
      <w:pPr>
        <w:pStyle w:val="Caption"/>
      </w:pPr>
      <w:r>
        <w:t xml:space="preserve">Figure </w:t>
      </w:r>
      <w:r w:rsidR="005756E2">
        <w:t>7</w:t>
      </w:r>
      <w:r>
        <w:t>. Ta/</w:t>
      </w:r>
      <w:proofErr w:type="spellStart"/>
      <w:r>
        <w:t>Nb</w:t>
      </w:r>
      <w:proofErr w:type="spellEnd"/>
      <w:r>
        <w:t xml:space="preserve"> versus </w:t>
      </w:r>
      <w:proofErr w:type="spellStart"/>
      <w:r>
        <w:t>Ti</w:t>
      </w:r>
      <w:proofErr w:type="spellEnd"/>
      <w:r>
        <w:t>. An increase in Ta/</w:t>
      </w:r>
      <w:proofErr w:type="spellStart"/>
      <w:r>
        <w:t>Nb</w:t>
      </w:r>
      <w:proofErr w:type="spellEnd"/>
      <w:r>
        <w:t xml:space="preserve"> with decreasing </w:t>
      </w:r>
      <w:proofErr w:type="spellStart"/>
      <w:r>
        <w:t>Ti</w:t>
      </w:r>
      <w:proofErr w:type="spellEnd"/>
      <w:r>
        <w:t xml:space="preserve"> is an indication of fractional crystallization of biotite.</w:t>
      </w:r>
    </w:p>
    <w:p w14:paraId="66365130" w14:textId="60B6F758" w:rsidR="001A7E42" w:rsidRDefault="001A7E42" w:rsidP="001A7E42">
      <w:pPr>
        <w:rPr>
          <w:lang w:val="en-US"/>
        </w:rPr>
      </w:pPr>
      <w:proofErr w:type="spellStart"/>
      <w:r w:rsidRPr="001A7E42">
        <w:rPr>
          <w:lang w:val="en-US"/>
        </w:rPr>
        <w:t>Ti</w:t>
      </w:r>
      <w:proofErr w:type="spellEnd"/>
      <w:r w:rsidRPr="001A7E42">
        <w:rPr>
          <w:lang w:val="en-US"/>
        </w:rPr>
        <w:t xml:space="preserve">, </w:t>
      </w:r>
      <w:proofErr w:type="spellStart"/>
      <w:r w:rsidRPr="001A7E42">
        <w:rPr>
          <w:lang w:val="en-US"/>
        </w:rPr>
        <w:t>Nb</w:t>
      </w:r>
      <w:proofErr w:type="spellEnd"/>
      <w:r w:rsidRPr="001A7E42">
        <w:rPr>
          <w:lang w:val="en-US"/>
        </w:rPr>
        <w:t xml:space="preserve"> and Ta have similar chemical properties. </w:t>
      </w:r>
      <w:proofErr w:type="spellStart"/>
      <w:r w:rsidRPr="001A7E42">
        <w:rPr>
          <w:lang w:val="en-US"/>
        </w:rPr>
        <w:t>Ti</w:t>
      </w:r>
      <w:proofErr w:type="spellEnd"/>
      <w:r w:rsidRPr="001A7E42">
        <w:rPr>
          <w:lang w:val="en-US"/>
        </w:rPr>
        <w:t xml:space="preserve"> is compatible; </w:t>
      </w:r>
      <w:proofErr w:type="spellStart"/>
      <w:r w:rsidRPr="001A7E42">
        <w:rPr>
          <w:lang w:val="en-US"/>
        </w:rPr>
        <w:t>Nb</w:t>
      </w:r>
      <w:proofErr w:type="spellEnd"/>
      <w:r w:rsidRPr="001A7E42">
        <w:rPr>
          <w:lang w:val="en-US"/>
        </w:rPr>
        <w:t xml:space="preserve"> is less compatible; Ta is </w:t>
      </w:r>
      <w:r w:rsidR="005756E2">
        <w:rPr>
          <w:lang w:val="en-US"/>
        </w:rPr>
        <w:t xml:space="preserve">the </w:t>
      </w:r>
      <w:r w:rsidRPr="001A7E42">
        <w:rPr>
          <w:lang w:val="en-US"/>
        </w:rPr>
        <w:t xml:space="preserve">least compatible. </w:t>
      </w:r>
      <w:proofErr w:type="spellStart"/>
      <w:r w:rsidRPr="001A7E42">
        <w:rPr>
          <w:lang w:val="en-US"/>
        </w:rPr>
        <w:t>Nb</w:t>
      </w:r>
      <w:proofErr w:type="spellEnd"/>
      <w:r w:rsidRPr="001A7E42">
        <w:rPr>
          <w:lang w:val="en-US"/>
        </w:rPr>
        <w:t xml:space="preserve"> and Ta are least compatible in biotite, therefore granites that have the greatest amount of biotite fractionation have the largest amount of </w:t>
      </w:r>
      <w:proofErr w:type="spellStart"/>
      <w:r w:rsidRPr="001A7E42">
        <w:rPr>
          <w:lang w:val="en-US"/>
        </w:rPr>
        <w:t>Nb</w:t>
      </w:r>
      <w:proofErr w:type="spellEnd"/>
      <w:r w:rsidRPr="001A7E42">
        <w:rPr>
          <w:lang w:val="en-US"/>
        </w:rPr>
        <w:t xml:space="preserve"> and Ta enrichment</w:t>
      </w:r>
      <w:r w:rsidR="000430A9">
        <w:rPr>
          <w:lang w:val="en-US"/>
        </w:rPr>
        <w:t xml:space="preserve"> (</w:t>
      </w:r>
      <w:proofErr w:type="spellStart"/>
      <w:r w:rsidR="000430A9">
        <w:rPr>
          <w:rFonts w:ascii="Arial" w:hAnsi="Arial" w:cs="Arial"/>
          <w:color w:val="222222"/>
          <w:sz w:val="20"/>
          <w:szCs w:val="20"/>
        </w:rPr>
        <w:t>Stepanov</w:t>
      </w:r>
      <w:proofErr w:type="spellEnd"/>
      <w:r w:rsidR="000430A9">
        <w:rPr>
          <w:rFonts w:ascii="Arial" w:hAnsi="Arial" w:cs="Arial"/>
          <w:color w:val="222222"/>
          <w:sz w:val="20"/>
          <w:szCs w:val="20"/>
        </w:rPr>
        <w:t xml:space="preserve"> and Hermann, 2013)</w:t>
      </w:r>
      <w:r w:rsidRPr="001A7E42">
        <w:rPr>
          <w:lang w:val="en-US"/>
        </w:rPr>
        <w:t>. Increasing Ta/</w:t>
      </w:r>
      <w:proofErr w:type="spellStart"/>
      <w:r w:rsidRPr="001A7E42">
        <w:rPr>
          <w:lang w:val="en-US"/>
        </w:rPr>
        <w:t>Nb</w:t>
      </w:r>
      <w:proofErr w:type="spellEnd"/>
      <w:r w:rsidRPr="001A7E42">
        <w:rPr>
          <w:lang w:val="en-US"/>
        </w:rPr>
        <w:t xml:space="preserve"> with decreasing </w:t>
      </w:r>
      <w:proofErr w:type="spellStart"/>
      <w:r w:rsidRPr="001A7E42">
        <w:rPr>
          <w:lang w:val="en-US"/>
        </w:rPr>
        <w:t>Ti</w:t>
      </w:r>
      <w:proofErr w:type="spellEnd"/>
      <w:r w:rsidRPr="001A7E42">
        <w:rPr>
          <w:lang w:val="en-US"/>
        </w:rPr>
        <w:t xml:space="preserve"> is an indicator for fractional crystallization of biotite</w:t>
      </w:r>
      <w:r w:rsidR="00757D0F">
        <w:rPr>
          <w:lang w:val="en-US"/>
        </w:rPr>
        <w:t xml:space="preserve"> (fig </w:t>
      </w:r>
      <w:r w:rsidR="005756E2">
        <w:rPr>
          <w:lang w:val="en-US"/>
        </w:rPr>
        <w:t>7</w:t>
      </w:r>
      <w:r w:rsidR="00757D0F">
        <w:rPr>
          <w:lang w:val="en-US"/>
        </w:rPr>
        <w:t>)</w:t>
      </w:r>
      <w:r w:rsidRPr="001A7E42">
        <w:rPr>
          <w:lang w:val="en-US"/>
        </w:rPr>
        <w:t>.</w:t>
      </w:r>
    </w:p>
    <w:p w14:paraId="04198D86" w14:textId="32DA7E45" w:rsidR="00A83A61" w:rsidRDefault="00FC01CD" w:rsidP="00A83A61">
      <w:pPr>
        <w:rPr>
          <w:lang w:val="en-US"/>
        </w:rPr>
      </w:pPr>
      <w:r>
        <w:rPr>
          <w:lang w:val="en-US"/>
        </w:rPr>
        <w:t xml:space="preserve"> </w:t>
      </w:r>
    </w:p>
    <w:p w14:paraId="1B2C0DC9" w14:textId="315BD1ED" w:rsidR="00A83A61" w:rsidRDefault="00A83A61" w:rsidP="00A83A61">
      <w:pPr>
        <w:pStyle w:val="Heading1"/>
        <w:rPr>
          <w:color w:val="auto"/>
        </w:rPr>
      </w:pPr>
      <w:r w:rsidRPr="00A83A61">
        <w:rPr>
          <w:color w:val="auto"/>
        </w:rPr>
        <w:t>Mapping Alteration Mineralogy</w:t>
      </w:r>
    </w:p>
    <w:p w14:paraId="7B636B87" w14:textId="10B7B7DA" w:rsidR="003C3BF0" w:rsidRDefault="00C61466" w:rsidP="001A7E42">
      <w:pPr>
        <w:rPr>
          <w:lang w:val="en-US"/>
        </w:rPr>
      </w:pPr>
      <w:r>
        <w:rPr>
          <w:lang w:val="en-US"/>
        </w:rPr>
        <w:t>Consistently l</w:t>
      </w:r>
      <w:r w:rsidR="003C3BF0" w:rsidRPr="003C3BF0">
        <w:rPr>
          <w:lang w:val="en-US"/>
        </w:rPr>
        <w:t xml:space="preserve">ogging </w:t>
      </w:r>
      <w:r>
        <w:rPr>
          <w:lang w:val="en-US"/>
        </w:rPr>
        <w:t xml:space="preserve">mineralogy and alteration intensity </w:t>
      </w:r>
      <w:r w:rsidR="003C3BF0" w:rsidRPr="003C3BF0">
        <w:rPr>
          <w:lang w:val="en-US"/>
        </w:rPr>
        <w:t xml:space="preserve">drill core or drill chips is very subjective. Variation in skills and opinions from one geologist to the next makes it very difficult to create reliable 3D alteration models of orebodies based on visual logging. Routine </w:t>
      </w:r>
      <w:r w:rsidR="00E333DF">
        <w:rPr>
          <w:lang w:val="en-US"/>
        </w:rPr>
        <w:t>four-acid digest</w:t>
      </w:r>
      <w:r w:rsidR="003C3BF0" w:rsidRPr="003C3BF0">
        <w:rPr>
          <w:lang w:val="en-US"/>
        </w:rPr>
        <w:t xml:space="preserve"> ICP analyses provide a quantitative and consistent data set through an entire orebody</w:t>
      </w:r>
      <w:r w:rsidR="003C3BF0">
        <w:rPr>
          <w:lang w:val="en-US"/>
        </w:rPr>
        <w:t>.</w:t>
      </w:r>
      <w:r w:rsidR="003C3BF0" w:rsidRPr="003C3BF0">
        <w:rPr>
          <w:lang w:val="en-US"/>
        </w:rPr>
        <w:t xml:space="preserve"> This provides the basis for improved 3D </w:t>
      </w:r>
      <w:r w:rsidR="001E39B7">
        <w:rPr>
          <w:lang w:val="en-US"/>
        </w:rPr>
        <w:t>r</w:t>
      </w:r>
      <w:r w:rsidR="003C3BF0" w:rsidRPr="003C3BF0">
        <w:rPr>
          <w:lang w:val="en-US"/>
        </w:rPr>
        <w:t xml:space="preserve">esource domain models. </w:t>
      </w:r>
      <w:r w:rsidR="00161FE8" w:rsidRPr="00161FE8">
        <w:rPr>
          <w:lang w:val="en-US"/>
        </w:rPr>
        <w:t>Where correlations are established between metallurgical test results and mineralogy estimated from the chemistry, the assays can be used as a proxy to populate an entire block model with predicted rock properties.</w:t>
      </w:r>
      <w:r w:rsidR="00161FE8">
        <w:rPr>
          <w:lang w:val="en-US"/>
        </w:rPr>
        <w:t xml:space="preserve"> </w:t>
      </w:r>
      <w:r w:rsidR="00161FE8" w:rsidRPr="00161FE8">
        <w:rPr>
          <w:lang w:val="en-US"/>
        </w:rPr>
        <w:t xml:space="preserve">The </w:t>
      </w:r>
      <w:r w:rsidR="005756E2">
        <w:rPr>
          <w:lang w:val="en-US"/>
        </w:rPr>
        <w:t xml:space="preserve">economic </w:t>
      </w:r>
      <w:r w:rsidR="00161FE8" w:rsidRPr="00161FE8">
        <w:rPr>
          <w:lang w:val="en-US"/>
        </w:rPr>
        <w:t>value of an ore</w:t>
      </w:r>
      <w:r w:rsidR="001E39B7">
        <w:rPr>
          <w:lang w:val="en-US"/>
        </w:rPr>
        <w:t xml:space="preserve"> block </w:t>
      </w:r>
      <w:r w:rsidR="00161FE8" w:rsidRPr="00161FE8">
        <w:rPr>
          <w:lang w:val="en-US"/>
        </w:rPr>
        <w:t>is determined not only by the amount of contained metal but also by the cost of mining, milling and extracting the metal from the ore. If mineralogical proxies for cost components</w:t>
      </w:r>
      <w:r w:rsidR="001E39B7">
        <w:rPr>
          <w:lang w:val="en-US"/>
        </w:rPr>
        <w:t xml:space="preserve"> can be established</w:t>
      </w:r>
      <w:r w:rsidR="00161FE8" w:rsidRPr="00161FE8">
        <w:rPr>
          <w:lang w:val="en-US"/>
        </w:rPr>
        <w:t xml:space="preserve">, then </w:t>
      </w:r>
      <w:r w:rsidR="000A620A">
        <w:rPr>
          <w:lang w:val="en-US"/>
        </w:rPr>
        <w:t xml:space="preserve">the block model can be populated with a predicted value per block rather than just a grade estimate per block. This will lead to </w:t>
      </w:r>
      <w:r w:rsidR="00161FE8" w:rsidRPr="00161FE8">
        <w:rPr>
          <w:lang w:val="en-US"/>
        </w:rPr>
        <w:t>improve</w:t>
      </w:r>
      <w:r w:rsidR="000A620A">
        <w:rPr>
          <w:lang w:val="en-US"/>
        </w:rPr>
        <w:t>d</w:t>
      </w:r>
      <w:r w:rsidR="00161FE8" w:rsidRPr="00161FE8">
        <w:rPr>
          <w:lang w:val="en-US"/>
        </w:rPr>
        <w:t xml:space="preserve"> financial models and mine scheduling.</w:t>
      </w:r>
    </w:p>
    <w:p w14:paraId="794A5F1D" w14:textId="0142D148" w:rsidR="001A7E42" w:rsidRPr="003C3BF0" w:rsidRDefault="001A7E42" w:rsidP="001A7E42">
      <w:r w:rsidRPr="003C3BF0">
        <w:rPr>
          <w:lang w:val="en-US"/>
        </w:rPr>
        <w:t>Consider the compositions of the common alteration minerals;</w:t>
      </w:r>
    </w:p>
    <w:p w14:paraId="352FCA0E" w14:textId="77777777" w:rsidR="001A7E42" w:rsidRPr="001A7E42" w:rsidRDefault="001A7E42" w:rsidP="004620BE">
      <w:pPr>
        <w:pStyle w:val="ListParagraph"/>
        <w:numPr>
          <w:ilvl w:val="0"/>
          <w:numId w:val="2"/>
        </w:numPr>
      </w:pPr>
      <w:r w:rsidRPr="004620BE">
        <w:rPr>
          <w:lang w:val="en-US"/>
        </w:rPr>
        <w:t>White mica KAl</w:t>
      </w:r>
      <w:r w:rsidRPr="004620BE">
        <w:rPr>
          <w:vertAlign w:val="subscript"/>
          <w:lang w:val="en-US"/>
        </w:rPr>
        <w:t>3</w:t>
      </w:r>
      <w:r w:rsidRPr="004620BE">
        <w:rPr>
          <w:lang w:val="en-US"/>
        </w:rPr>
        <w:t>Si</w:t>
      </w:r>
      <w:r w:rsidRPr="004620BE">
        <w:rPr>
          <w:vertAlign w:val="subscript"/>
          <w:lang w:val="en-US"/>
        </w:rPr>
        <w:t>3</w:t>
      </w:r>
      <w:r w:rsidRPr="004620BE">
        <w:rPr>
          <w:lang w:val="en-US"/>
        </w:rPr>
        <w:t>O</w:t>
      </w:r>
      <w:r w:rsidRPr="004620BE">
        <w:rPr>
          <w:vertAlign w:val="subscript"/>
          <w:lang w:val="en-US"/>
        </w:rPr>
        <w:t>10</w:t>
      </w:r>
      <w:r w:rsidRPr="004620BE">
        <w:rPr>
          <w:lang w:val="en-US"/>
        </w:rPr>
        <w:t>(OH)</w:t>
      </w:r>
      <w:r w:rsidRPr="004620BE">
        <w:rPr>
          <w:vertAlign w:val="subscript"/>
          <w:lang w:val="en-US"/>
        </w:rPr>
        <w:t>2</w:t>
      </w:r>
    </w:p>
    <w:p w14:paraId="056751EF" w14:textId="77777777" w:rsidR="001A7E42" w:rsidRPr="001A7E42" w:rsidRDefault="001A7E42" w:rsidP="004620BE">
      <w:pPr>
        <w:pStyle w:val="ListParagraph"/>
        <w:numPr>
          <w:ilvl w:val="0"/>
          <w:numId w:val="2"/>
        </w:numPr>
      </w:pPr>
      <w:r w:rsidRPr="004620BE">
        <w:rPr>
          <w:lang w:val="en-US"/>
        </w:rPr>
        <w:t>Chlorite (</w:t>
      </w:r>
      <w:proofErr w:type="spellStart"/>
      <w:proofErr w:type="gramStart"/>
      <w:r w:rsidRPr="004620BE">
        <w:rPr>
          <w:lang w:val="en-US"/>
        </w:rPr>
        <w:t>Fe,Mg</w:t>
      </w:r>
      <w:proofErr w:type="spellEnd"/>
      <w:proofErr w:type="gramEnd"/>
      <w:r w:rsidRPr="004620BE">
        <w:rPr>
          <w:lang w:val="en-US"/>
        </w:rPr>
        <w:t>)</w:t>
      </w:r>
      <w:r w:rsidRPr="004620BE">
        <w:rPr>
          <w:vertAlign w:val="subscript"/>
          <w:lang w:val="en-US"/>
        </w:rPr>
        <w:t>5</w:t>
      </w:r>
      <w:r w:rsidRPr="004620BE">
        <w:rPr>
          <w:lang w:val="en-US"/>
        </w:rPr>
        <w:t>Al</w:t>
      </w:r>
      <w:r w:rsidRPr="004620BE">
        <w:rPr>
          <w:vertAlign w:val="subscript"/>
          <w:lang w:val="en-US"/>
        </w:rPr>
        <w:t>2</w:t>
      </w:r>
      <w:r w:rsidRPr="004620BE">
        <w:rPr>
          <w:lang w:val="en-US"/>
        </w:rPr>
        <w:t>Si</w:t>
      </w:r>
      <w:r w:rsidRPr="004620BE">
        <w:rPr>
          <w:vertAlign w:val="subscript"/>
          <w:lang w:val="en-US"/>
        </w:rPr>
        <w:t>3</w:t>
      </w:r>
      <w:r w:rsidRPr="004620BE">
        <w:rPr>
          <w:lang w:val="en-US"/>
        </w:rPr>
        <w:t>O</w:t>
      </w:r>
      <w:r w:rsidRPr="004620BE">
        <w:rPr>
          <w:vertAlign w:val="subscript"/>
          <w:lang w:val="en-US"/>
        </w:rPr>
        <w:t>10</w:t>
      </w:r>
      <w:r w:rsidRPr="004620BE">
        <w:rPr>
          <w:lang w:val="en-US"/>
        </w:rPr>
        <w:t>(OH)</w:t>
      </w:r>
      <w:r w:rsidRPr="004620BE">
        <w:rPr>
          <w:vertAlign w:val="subscript"/>
          <w:lang w:val="en-US"/>
        </w:rPr>
        <w:t>8</w:t>
      </w:r>
    </w:p>
    <w:p w14:paraId="67BEDEF1" w14:textId="77777777" w:rsidR="001A7E42" w:rsidRPr="001A7E42" w:rsidRDefault="001A7E42" w:rsidP="004620BE">
      <w:pPr>
        <w:pStyle w:val="ListParagraph"/>
        <w:numPr>
          <w:ilvl w:val="0"/>
          <w:numId w:val="2"/>
        </w:numPr>
      </w:pPr>
      <w:r w:rsidRPr="004620BE">
        <w:rPr>
          <w:lang w:val="en-US"/>
        </w:rPr>
        <w:lastRenderedPageBreak/>
        <w:t xml:space="preserve">Carbonate </w:t>
      </w:r>
      <w:proofErr w:type="gramStart"/>
      <w:r w:rsidRPr="004620BE">
        <w:rPr>
          <w:lang w:val="en-US"/>
        </w:rPr>
        <w:t>Ca(</w:t>
      </w:r>
      <w:proofErr w:type="spellStart"/>
      <w:proofErr w:type="gramEnd"/>
      <w:r w:rsidRPr="004620BE">
        <w:rPr>
          <w:lang w:val="en-US"/>
        </w:rPr>
        <w:t>Fe,Mg</w:t>
      </w:r>
      <w:proofErr w:type="spellEnd"/>
      <w:r w:rsidRPr="004620BE">
        <w:rPr>
          <w:lang w:val="en-US"/>
        </w:rPr>
        <w:t>)(CO</w:t>
      </w:r>
      <w:r w:rsidRPr="004620BE">
        <w:rPr>
          <w:vertAlign w:val="subscript"/>
          <w:lang w:val="en-US"/>
        </w:rPr>
        <w:t>3</w:t>
      </w:r>
      <w:r w:rsidRPr="004620BE">
        <w:rPr>
          <w:lang w:val="en-US"/>
        </w:rPr>
        <w:t>)</w:t>
      </w:r>
      <w:r w:rsidRPr="004620BE">
        <w:rPr>
          <w:vertAlign w:val="subscript"/>
          <w:lang w:val="en-US"/>
        </w:rPr>
        <w:t>2</w:t>
      </w:r>
    </w:p>
    <w:p w14:paraId="207BA855" w14:textId="77777777" w:rsidR="001A7E42" w:rsidRPr="001A7E42" w:rsidRDefault="001A7E42" w:rsidP="004620BE">
      <w:pPr>
        <w:pStyle w:val="ListParagraph"/>
        <w:numPr>
          <w:ilvl w:val="0"/>
          <w:numId w:val="2"/>
        </w:numPr>
      </w:pPr>
      <w:r w:rsidRPr="004620BE">
        <w:rPr>
          <w:lang w:val="en-US"/>
        </w:rPr>
        <w:t>Albite NaAlSi</w:t>
      </w:r>
      <w:r w:rsidRPr="004620BE">
        <w:rPr>
          <w:vertAlign w:val="subscript"/>
          <w:lang w:val="en-US"/>
        </w:rPr>
        <w:t>3</w:t>
      </w:r>
      <w:r w:rsidRPr="004620BE">
        <w:rPr>
          <w:lang w:val="en-US"/>
        </w:rPr>
        <w:t>O</w:t>
      </w:r>
      <w:r w:rsidRPr="004620BE">
        <w:rPr>
          <w:vertAlign w:val="subscript"/>
          <w:lang w:val="en-US"/>
        </w:rPr>
        <w:t>8</w:t>
      </w:r>
    </w:p>
    <w:p w14:paraId="42F5841E" w14:textId="1F3BBA9E" w:rsidR="001A7E42" w:rsidRPr="001A7E42" w:rsidRDefault="00FB5296" w:rsidP="004620BE">
      <w:pPr>
        <w:pStyle w:val="ListParagraph"/>
        <w:numPr>
          <w:ilvl w:val="0"/>
          <w:numId w:val="2"/>
        </w:numPr>
      </w:pPr>
      <w:r>
        <w:rPr>
          <w:lang w:val="en-US"/>
        </w:rPr>
        <w:t>Potassium Felds</w:t>
      </w:r>
      <w:r w:rsidR="001A7E42" w:rsidRPr="004620BE">
        <w:rPr>
          <w:lang w:val="en-US"/>
        </w:rPr>
        <w:t>par KAlSi</w:t>
      </w:r>
      <w:r w:rsidR="001A7E42" w:rsidRPr="004620BE">
        <w:rPr>
          <w:vertAlign w:val="subscript"/>
          <w:lang w:val="en-US"/>
        </w:rPr>
        <w:t>3</w:t>
      </w:r>
      <w:r w:rsidR="001A7E42" w:rsidRPr="004620BE">
        <w:rPr>
          <w:lang w:val="en-US"/>
        </w:rPr>
        <w:t>O</w:t>
      </w:r>
      <w:r w:rsidR="001A7E42" w:rsidRPr="004620BE">
        <w:rPr>
          <w:vertAlign w:val="subscript"/>
          <w:lang w:val="en-US"/>
        </w:rPr>
        <w:t>8</w:t>
      </w:r>
    </w:p>
    <w:p w14:paraId="5FDA586D" w14:textId="77777777" w:rsidR="001A7E42" w:rsidRPr="001A7E42" w:rsidRDefault="001A7E42" w:rsidP="004620BE">
      <w:pPr>
        <w:pStyle w:val="ListParagraph"/>
        <w:numPr>
          <w:ilvl w:val="0"/>
          <w:numId w:val="2"/>
        </w:numPr>
      </w:pPr>
      <w:r w:rsidRPr="004620BE">
        <w:rPr>
          <w:lang w:val="en-US"/>
        </w:rPr>
        <w:t>Pyrite FeS</w:t>
      </w:r>
      <w:r w:rsidRPr="004620BE">
        <w:rPr>
          <w:vertAlign w:val="subscript"/>
          <w:lang w:val="en-US"/>
        </w:rPr>
        <w:t>2</w:t>
      </w:r>
    </w:p>
    <w:p w14:paraId="567F2C28" w14:textId="77777777" w:rsidR="001A7E42" w:rsidRPr="001A7E42" w:rsidRDefault="001A7E42" w:rsidP="004620BE">
      <w:pPr>
        <w:pStyle w:val="ListParagraph"/>
        <w:numPr>
          <w:ilvl w:val="0"/>
          <w:numId w:val="2"/>
        </w:numPr>
      </w:pPr>
      <w:r w:rsidRPr="004620BE">
        <w:rPr>
          <w:lang w:val="en-US"/>
        </w:rPr>
        <w:t>Anhydrite CaSO</w:t>
      </w:r>
      <w:r w:rsidRPr="004620BE">
        <w:rPr>
          <w:vertAlign w:val="subscript"/>
          <w:lang w:val="en-US"/>
        </w:rPr>
        <w:t>4</w:t>
      </w:r>
    </w:p>
    <w:p w14:paraId="67CDDD36" w14:textId="6EE71576" w:rsidR="001A7E42" w:rsidRPr="001A7E42" w:rsidRDefault="00681E51" w:rsidP="001A7E42">
      <w:r>
        <w:rPr>
          <w:lang w:val="en-US"/>
        </w:rPr>
        <w:t xml:space="preserve">Alteration reactions result in an existing mineral phase being converted to a different phase, usually with the addition or removal of one or more components. As a reaction runs towards completion, the molar </w:t>
      </w:r>
      <w:r w:rsidR="00753F02">
        <w:rPr>
          <w:lang w:val="en-US"/>
        </w:rPr>
        <w:t>proportions</w:t>
      </w:r>
      <w:r>
        <w:rPr>
          <w:lang w:val="en-US"/>
        </w:rPr>
        <w:t xml:space="preserve"> of components t</w:t>
      </w:r>
      <w:r w:rsidR="00753F02">
        <w:rPr>
          <w:lang w:val="en-US"/>
        </w:rPr>
        <w:t>r</w:t>
      </w:r>
      <w:r>
        <w:rPr>
          <w:lang w:val="en-US"/>
        </w:rPr>
        <w:t xml:space="preserve">end towards the stoichiometry of the mineral </w:t>
      </w:r>
      <w:r w:rsidR="00753F02">
        <w:rPr>
          <w:lang w:val="en-US"/>
        </w:rPr>
        <w:t>phases</w:t>
      </w:r>
      <w:r>
        <w:rPr>
          <w:lang w:val="en-US"/>
        </w:rPr>
        <w:t xml:space="preserve"> that are being formed in the reaction.  </w:t>
      </w:r>
      <w:r w:rsidR="00753F02">
        <w:rPr>
          <w:lang w:val="en-US"/>
        </w:rPr>
        <w:t>S</w:t>
      </w:r>
      <w:r w:rsidR="001A7E42" w:rsidRPr="001A7E42">
        <w:rPr>
          <w:lang w:val="en-US"/>
        </w:rPr>
        <w:t>catterplots of the major elements in these minerals</w:t>
      </w:r>
      <w:r w:rsidR="00753F02">
        <w:rPr>
          <w:lang w:val="en-US"/>
        </w:rPr>
        <w:t xml:space="preserve"> typically show an alteration trajectory from the composition of the unaltered rock towards the projected stoichiometry of the newly formed mineral. The following scatterplots are useful for tracking some of the common alteration reactions;</w:t>
      </w:r>
    </w:p>
    <w:p w14:paraId="297C4FE7" w14:textId="77777777" w:rsidR="001A7E42" w:rsidRPr="001A7E42" w:rsidRDefault="001A7E42" w:rsidP="004620BE">
      <w:pPr>
        <w:pStyle w:val="ListParagraph"/>
        <w:numPr>
          <w:ilvl w:val="0"/>
          <w:numId w:val="3"/>
        </w:numPr>
      </w:pPr>
      <w:r w:rsidRPr="001A7E42">
        <w:t>K/Al vs Na/Al molar ratio plot to map sericite alteration</w:t>
      </w:r>
    </w:p>
    <w:p w14:paraId="21122584" w14:textId="4E331B42" w:rsidR="001A7E42" w:rsidRPr="001A7E42" w:rsidRDefault="001A7E42" w:rsidP="004620BE">
      <w:pPr>
        <w:pStyle w:val="ListParagraph"/>
        <w:numPr>
          <w:ilvl w:val="0"/>
          <w:numId w:val="3"/>
        </w:numPr>
      </w:pPr>
      <w:r w:rsidRPr="001A7E42">
        <w:t xml:space="preserve">Al-K-Mg ternary plot to </w:t>
      </w:r>
      <w:r w:rsidR="00664802">
        <w:t xml:space="preserve">define </w:t>
      </w:r>
      <w:r w:rsidRPr="001A7E42">
        <w:t>relative proportions of sericite vs chlorite</w:t>
      </w:r>
    </w:p>
    <w:p w14:paraId="5035EF33" w14:textId="77777777" w:rsidR="001A7E42" w:rsidRPr="001A7E42" w:rsidRDefault="001A7E42" w:rsidP="004620BE">
      <w:pPr>
        <w:pStyle w:val="ListParagraph"/>
        <w:numPr>
          <w:ilvl w:val="0"/>
          <w:numId w:val="3"/>
        </w:numPr>
      </w:pPr>
      <w:r w:rsidRPr="001A7E42">
        <w:t>Ca vs Mg to map calcite vs dolomite</w:t>
      </w:r>
    </w:p>
    <w:p w14:paraId="402664D9" w14:textId="77777777" w:rsidR="001A7E42" w:rsidRPr="001A7E42" w:rsidRDefault="001A7E42" w:rsidP="004620BE">
      <w:pPr>
        <w:pStyle w:val="ListParagraph"/>
        <w:numPr>
          <w:ilvl w:val="0"/>
          <w:numId w:val="3"/>
        </w:numPr>
      </w:pPr>
      <w:r w:rsidRPr="001A7E42">
        <w:t>Ca-Fe-Mg ternary plot to pick carbonate compositions</w:t>
      </w:r>
    </w:p>
    <w:p w14:paraId="1BF7B333" w14:textId="77777777" w:rsidR="001A7E42" w:rsidRPr="001A7E42" w:rsidRDefault="001A7E42" w:rsidP="004620BE">
      <w:pPr>
        <w:pStyle w:val="ListParagraph"/>
        <w:numPr>
          <w:ilvl w:val="0"/>
          <w:numId w:val="3"/>
        </w:numPr>
      </w:pPr>
      <w:r w:rsidRPr="001A7E42">
        <w:t>Ca-K-Na to map feldspar compositions</w:t>
      </w:r>
    </w:p>
    <w:p w14:paraId="08A26141" w14:textId="77777777" w:rsidR="001A7E42" w:rsidRPr="001A7E42" w:rsidRDefault="001A7E42" w:rsidP="004620BE">
      <w:pPr>
        <w:pStyle w:val="ListParagraph"/>
        <w:numPr>
          <w:ilvl w:val="0"/>
          <w:numId w:val="3"/>
        </w:numPr>
      </w:pPr>
      <w:r w:rsidRPr="001A7E42">
        <w:t>Fe vs S to map the degree of sulfidation</w:t>
      </w:r>
    </w:p>
    <w:p w14:paraId="5879B727" w14:textId="77777777" w:rsidR="001A7E42" w:rsidRPr="001A7E42" w:rsidRDefault="001A7E42" w:rsidP="004620BE">
      <w:pPr>
        <w:pStyle w:val="ListParagraph"/>
        <w:numPr>
          <w:ilvl w:val="0"/>
          <w:numId w:val="3"/>
        </w:numPr>
      </w:pPr>
      <w:r w:rsidRPr="001A7E42">
        <w:t>Ca-Fe-S ternary plot to map anhydrite</w:t>
      </w:r>
    </w:p>
    <w:p w14:paraId="68467310" w14:textId="1275481A" w:rsidR="001A7E42" w:rsidRDefault="001A7E42" w:rsidP="004620BE">
      <w:pPr>
        <w:pStyle w:val="ListParagraph"/>
        <w:numPr>
          <w:ilvl w:val="0"/>
          <w:numId w:val="3"/>
        </w:numPr>
      </w:pPr>
      <w:proofErr w:type="spellStart"/>
      <w:r w:rsidRPr="001A7E42">
        <w:t>Rb</w:t>
      </w:r>
      <w:proofErr w:type="spellEnd"/>
      <w:r w:rsidRPr="001A7E42">
        <w:t xml:space="preserve"> vs K to map alunite</w:t>
      </w:r>
    </w:p>
    <w:p w14:paraId="0CD92426" w14:textId="247CE89A" w:rsidR="00753F02" w:rsidRDefault="00282369" w:rsidP="00753F02">
      <w:pPr>
        <w:keepNext/>
      </w:pPr>
      <w:r w:rsidRPr="00282369">
        <w:rPr>
          <w:noProof/>
        </w:rPr>
        <w:drawing>
          <wp:inline distT="0" distB="0" distL="0" distR="0" wp14:anchorId="4731873A" wp14:editId="2D7909E5">
            <wp:extent cx="3600000" cy="247844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2478440"/>
                    </a:xfrm>
                    <a:prstGeom prst="rect">
                      <a:avLst/>
                    </a:prstGeom>
                    <a:noFill/>
                    <a:ln>
                      <a:noFill/>
                    </a:ln>
                  </pic:spPr>
                </pic:pic>
              </a:graphicData>
            </a:graphic>
          </wp:inline>
        </w:drawing>
      </w:r>
    </w:p>
    <w:p w14:paraId="385BC4BE" w14:textId="6C476B74" w:rsidR="001A7E42" w:rsidRDefault="00753F02" w:rsidP="00753F02">
      <w:pPr>
        <w:pStyle w:val="Caption"/>
      </w:pPr>
      <w:r>
        <w:t xml:space="preserve">Figure </w:t>
      </w:r>
      <w:fldSimple w:instr=" SEQ Figure \* ARABIC ">
        <w:r w:rsidR="00674243">
          <w:rPr>
            <w:noProof/>
          </w:rPr>
          <w:t>8</w:t>
        </w:r>
      </w:fldSimple>
      <w:r>
        <w:t>. K/Al vs Na/Al molar ratio plot.</w:t>
      </w:r>
    </w:p>
    <w:p w14:paraId="7AACE94C" w14:textId="18E18C15" w:rsidR="00DA59D4" w:rsidRPr="001A7E42" w:rsidRDefault="00DA59D4" w:rsidP="00DA59D4">
      <w:r w:rsidRPr="001A7E42">
        <w:rPr>
          <w:lang w:val="en-US"/>
        </w:rPr>
        <w:t xml:space="preserve">A useful way to characterize </w:t>
      </w:r>
      <w:r>
        <w:rPr>
          <w:lang w:val="en-US"/>
        </w:rPr>
        <w:t xml:space="preserve">phyllic </w:t>
      </w:r>
      <w:r w:rsidRPr="001A7E42">
        <w:rPr>
          <w:lang w:val="en-US"/>
        </w:rPr>
        <w:t>alteration in porphyry copper deposits is to plot K/Al versus Na/Al calculated on a molar basis</w:t>
      </w:r>
      <w:r>
        <w:rPr>
          <w:lang w:val="en-US"/>
        </w:rPr>
        <w:t xml:space="preserve"> (Stanley and </w:t>
      </w:r>
      <w:proofErr w:type="spellStart"/>
      <w:r>
        <w:rPr>
          <w:lang w:val="en-US"/>
        </w:rPr>
        <w:t>Madeisky</w:t>
      </w:r>
      <w:proofErr w:type="spellEnd"/>
      <w:r>
        <w:rPr>
          <w:lang w:val="en-US"/>
        </w:rPr>
        <w:t>, 1996)</w:t>
      </w:r>
      <w:r w:rsidRPr="001A7E42">
        <w:rPr>
          <w:lang w:val="en-US"/>
        </w:rPr>
        <w:t>.</w:t>
      </w:r>
      <w:r>
        <w:rPr>
          <w:lang w:val="en-US"/>
        </w:rPr>
        <w:t xml:space="preserve"> In this plot, most fresh magmatic rock composition will plot between 0.3 to 0.5 Na/Al and 0.1 to 0.4 K/Al, forming a trend form mafic at low Na/Al and K/Al to felsic at higher Na/Al and K/Al (Fig. 8). This is responds to the proportions of rock forming mineral with Na-K-Al that the rock contains (K-feldspar, biotite, amphibole, pyroxene, olivine and plagioclase). In fresh rock, progressively lower Na/Al ratios respond to the increasing anorthite component of the plagioclase, as Na decreases as Ca increases. Assuming that all unaltered and </w:t>
      </w:r>
      <w:proofErr w:type="spellStart"/>
      <w:r>
        <w:rPr>
          <w:lang w:val="en-US"/>
        </w:rPr>
        <w:t>unweathered</w:t>
      </w:r>
      <w:proofErr w:type="spellEnd"/>
      <w:r>
        <w:rPr>
          <w:lang w:val="en-US"/>
        </w:rPr>
        <w:t xml:space="preserve"> rocks will plot is such a well-defined space in this diagram, hydrothermal alteration can be evaluated based on gains and losses of K and Al, and the implied mineral transformations. </w:t>
      </w:r>
      <w:r w:rsidRPr="001A7E42">
        <w:rPr>
          <w:lang w:val="en-US"/>
        </w:rPr>
        <w:t xml:space="preserve">Consider a rock that is totally sericitized. The mineralogy of the rock might be </w:t>
      </w:r>
      <w:r w:rsidRPr="001A7E42">
        <w:rPr>
          <w:lang w:val="en-US"/>
        </w:rPr>
        <w:lastRenderedPageBreak/>
        <w:t>muscovite-quartz-carbonate-pyrite. All of the K and Al in that rock will be within sericite. Muscovite has a composition of KAl</w:t>
      </w:r>
      <w:r w:rsidRPr="001A7E42">
        <w:rPr>
          <w:vertAlign w:val="subscript"/>
          <w:lang w:val="en-US"/>
        </w:rPr>
        <w:t>3</w:t>
      </w:r>
      <w:r w:rsidRPr="001A7E42">
        <w:rPr>
          <w:lang w:val="en-US"/>
        </w:rPr>
        <w:t>Si</w:t>
      </w:r>
      <w:r w:rsidRPr="001A7E42">
        <w:rPr>
          <w:vertAlign w:val="subscript"/>
          <w:lang w:val="en-US"/>
        </w:rPr>
        <w:t>3</w:t>
      </w:r>
      <w:r w:rsidRPr="001A7E42">
        <w:rPr>
          <w:lang w:val="en-US"/>
        </w:rPr>
        <w:t>O</w:t>
      </w:r>
      <w:r w:rsidRPr="001A7E42">
        <w:rPr>
          <w:vertAlign w:val="subscript"/>
          <w:lang w:val="en-US"/>
        </w:rPr>
        <w:t>10</w:t>
      </w:r>
      <w:r w:rsidRPr="001A7E42">
        <w:rPr>
          <w:lang w:val="en-US"/>
        </w:rPr>
        <w:t>(OH)</w:t>
      </w:r>
      <w:r w:rsidRPr="001A7E42">
        <w:rPr>
          <w:vertAlign w:val="subscript"/>
          <w:lang w:val="en-US"/>
        </w:rPr>
        <w:t>2</w:t>
      </w:r>
      <w:r w:rsidRPr="001A7E42">
        <w:rPr>
          <w:lang w:val="en-US"/>
        </w:rPr>
        <w:t xml:space="preserve">. Therefore, the ratio of K:Al in the sericitized rock is 1:3. Similarly, </w:t>
      </w:r>
      <w:r>
        <w:rPr>
          <w:lang w:val="en-US"/>
        </w:rPr>
        <w:t xml:space="preserve">K-silicate altered rocks can be identified. In </w:t>
      </w:r>
      <w:r w:rsidRPr="001A7E42">
        <w:rPr>
          <w:lang w:val="en-US"/>
        </w:rPr>
        <w:t>a totally K feldspar (KAlSi</w:t>
      </w:r>
      <w:r w:rsidRPr="001A7E42">
        <w:rPr>
          <w:vertAlign w:val="subscript"/>
          <w:lang w:val="en-US"/>
        </w:rPr>
        <w:t>3</w:t>
      </w:r>
      <w:r w:rsidRPr="001A7E42">
        <w:rPr>
          <w:lang w:val="en-US"/>
        </w:rPr>
        <w:t>O</w:t>
      </w:r>
      <w:r w:rsidRPr="001A7E42">
        <w:rPr>
          <w:vertAlign w:val="subscript"/>
          <w:lang w:val="en-US"/>
        </w:rPr>
        <w:t>8</w:t>
      </w:r>
      <w:r w:rsidRPr="001A7E42">
        <w:rPr>
          <w:lang w:val="en-US"/>
        </w:rPr>
        <w:t>) altered rock will have a K:Al ratio of 1:1</w:t>
      </w:r>
      <w:r>
        <w:rPr>
          <w:lang w:val="en-US"/>
        </w:rPr>
        <w:t xml:space="preserve">. The amount of K that is added in a biotite-altered rock is limited by the availability of Fe in that rock, but it will plot on a trajectory towards 1,0. </w:t>
      </w:r>
      <w:r w:rsidRPr="001A7E42">
        <w:rPr>
          <w:lang w:val="en-US"/>
        </w:rPr>
        <w:t xml:space="preserve">In the same way, </w:t>
      </w:r>
      <w:r>
        <w:rPr>
          <w:lang w:val="en-US"/>
        </w:rPr>
        <w:t>albitization (Na-Ca alteration)</w:t>
      </w:r>
      <w:r w:rsidRPr="001A7E42">
        <w:rPr>
          <w:lang w:val="en-US"/>
        </w:rPr>
        <w:t xml:space="preserve"> can also be tracked. Albite is NaAlSi</w:t>
      </w:r>
      <w:r w:rsidRPr="001A7E42">
        <w:rPr>
          <w:vertAlign w:val="subscript"/>
          <w:lang w:val="en-US"/>
        </w:rPr>
        <w:t>3</w:t>
      </w:r>
      <w:r w:rsidRPr="001A7E42">
        <w:rPr>
          <w:lang w:val="en-US"/>
        </w:rPr>
        <w:t>O</w:t>
      </w:r>
      <w:r w:rsidRPr="001A7E42">
        <w:rPr>
          <w:vertAlign w:val="subscript"/>
          <w:lang w:val="en-US"/>
        </w:rPr>
        <w:t>8</w:t>
      </w:r>
      <w:r w:rsidRPr="001A7E42">
        <w:rPr>
          <w:lang w:val="en-US"/>
        </w:rPr>
        <w:t xml:space="preserve">: </w:t>
      </w:r>
      <w:proofErr w:type="spellStart"/>
      <w:proofErr w:type="gramStart"/>
      <w:r w:rsidRPr="001A7E42">
        <w:rPr>
          <w:lang w:val="en-US"/>
        </w:rPr>
        <w:t>Na:Al</w:t>
      </w:r>
      <w:proofErr w:type="spellEnd"/>
      <w:proofErr w:type="gramEnd"/>
      <w:r w:rsidRPr="001A7E42">
        <w:rPr>
          <w:lang w:val="en-US"/>
        </w:rPr>
        <w:t xml:space="preserve"> =1:1. </w:t>
      </w:r>
      <w:r>
        <w:rPr>
          <w:lang w:val="en-US"/>
        </w:rPr>
        <w:t xml:space="preserve">Therefore, in a data set that includes unaltered and altered rock </w:t>
      </w:r>
      <w:r w:rsidR="001F6978">
        <w:rPr>
          <w:lang w:val="en-US"/>
        </w:rPr>
        <w:t>compositions</w:t>
      </w:r>
      <w:r>
        <w:rPr>
          <w:lang w:val="en-US"/>
        </w:rPr>
        <w:t xml:space="preserve">, samples will plot in trends from the least altered composition in the center of the diagram, towards different mineral composition on the edges of the diagram. Note that in order to accurately track hydrothermal alteration, samples studied in this diagram have to be </w:t>
      </w:r>
      <w:r w:rsidR="001F6978">
        <w:rPr>
          <w:lang w:val="en-US"/>
        </w:rPr>
        <w:t>screened</w:t>
      </w:r>
      <w:r>
        <w:rPr>
          <w:lang w:val="en-US"/>
        </w:rPr>
        <w:t xml:space="preserve"> by rock composition first as different composition will plot in different least altered (“starting”) compositions. As explained before, this cannot be done with mobile elements like Si, K, Na and Fe, however, using the immobile Sc-proxy for composition explained above works well.</w:t>
      </w:r>
    </w:p>
    <w:p w14:paraId="21C03956" w14:textId="08E77A4B" w:rsidR="001A7E42" w:rsidRPr="001A7E42" w:rsidRDefault="001A7E42" w:rsidP="001A7E42">
      <w:r w:rsidRPr="001A7E42">
        <w:rPr>
          <w:lang w:val="en-US"/>
        </w:rPr>
        <w:t xml:space="preserve">In quartz-sericite-pyrite-albite-chlorite-carbonate alteration systems, it is quite common to see altered rocks plotting on a tie line between muscovite and albite, as </w:t>
      </w:r>
      <w:r w:rsidR="002B68AF">
        <w:rPr>
          <w:lang w:val="en-US"/>
        </w:rPr>
        <w:t>shown in figure 8</w:t>
      </w:r>
      <w:r w:rsidRPr="001A7E42">
        <w:rPr>
          <w:lang w:val="en-US"/>
        </w:rPr>
        <w:t xml:space="preserve">. </w:t>
      </w:r>
      <w:r w:rsidR="002B68AF">
        <w:rPr>
          <w:lang w:val="en-US"/>
        </w:rPr>
        <w:t xml:space="preserve">This example is from altered basalts in an Archean orogenic gold system. </w:t>
      </w:r>
      <w:r w:rsidRPr="001A7E42">
        <w:rPr>
          <w:lang w:val="en-US"/>
        </w:rPr>
        <w:t xml:space="preserve">The relative proportions of sericite to albite are easily read from this diagram. </w:t>
      </w:r>
    </w:p>
    <w:p w14:paraId="5917F553" w14:textId="77777777" w:rsidR="0047323D" w:rsidRDefault="00F65F08" w:rsidP="0047323D">
      <w:pPr>
        <w:keepNext/>
      </w:pPr>
      <w:r w:rsidRPr="00F65F08">
        <w:rPr>
          <w:noProof/>
        </w:rPr>
        <w:drawing>
          <wp:inline distT="0" distB="0" distL="0" distR="0" wp14:anchorId="6AF29866" wp14:editId="0D8682CD">
            <wp:extent cx="3600000" cy="2802672"/>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2802672"/>
                    </a:xfrm>
                    <a:prstGeom prst="rect">
                      <a:avLst/>
                    </a:prstGeom>
                    <a:noFill/>
                    <a:ln>
                      <a:noFill/>
                    </a:ln>
                  </pic:spPr>
                </pic:pic>
              </a:graphicData>
            </a:graphic>
          </wp:inline>
        </w:drawing>
      </w:r>
    </w:p>
    <w:p w14:paraId="57685A98" w14:textId="38AE750F" w:rsidR="001A7E42" w:rsidRDefault="0047323D" w:rsidP="0047323D">
      <w:pPr>
        <w:pStyle w:val="Caption"/>
      </w:pPr>
      <w:r>
        <w:t xml:space="preserve">Figure </w:t>
      </w:r>
      <w:fldSimple w:instr=" SEQ Figure \* ARABIC ">
        <w:r w:rsidR="00674243">
          <w:rPr>
            <w:noProof/>
          </w:rPr>
          <w:t>9</w:t>
        </w:r>
      </w:fldSimple>
      <w:r>
        <w:t>. Al-K-Mg ternary plot, showing physical mixtures of kaolinite, muscovite, chlorite and K feldspar.</w:t>
      </w:r>
    </w:p>
    <w:p w14:paraId="15DA9466" w14:textId="77777777" w:rsidR="00512C17" w:rsidRPr="001A7E42" w:rsidRDefault="00512C17" w:rsidP="00512C17">
      <w:r w:rsidRPr="001A7E42">
        <w:rPr>
          <w:lang w:val="en-US"/>
        </w:rPr>
        <w:t xml:space="preserve">Although the K/Al vs Na/Al molar ratio plot is useful, it can be ambiguous, especially since it says nothing about the </w:t>
      </w:r>
      <w:r>
        <w:rPr>
          <w:lang w:val="en-US"/>
        </w:rPr>
        <w:t>proportion of</w:t>
      </w:r>
      <w:r w:rsidRPr="001A7E42">
        <w:rPr>
          <w:lang w:val="en-US"/>
        </w:rPr>
        <w:t xml:space="preserve"> chlorite</w:t>
      </w:r>
      <w:r>
        <w:rPr>
          <w:lang w:val="en-US"/>
        </w:rPr>
        <w:t xml:space="preserve"> in a sample</w:t>
      </w:r>
      <w:r w:rsidRPr="001A7E42">
        <w:rPr>
          <w:lang w:val="en-US"/>
        </w:rPr>
        <w:t xml:space="preserve">. </w:t>
      </w:r>
      <w:r>
        <w:rPr>
          <w:lang w:val="en-US"/>
        </w:rPr>
        <w:t>Furthermore, m</w:t>
      </w:r>
      <w:r w:rsidRPr="001A7E42">
        <w:rPr>
          <w:lang w:val="en-US"/>
        </w:rPr>
        <w:t>ixtures of feldspar and chlorite can plot with the same K/Al ratio as sericite</w:t>
      </w:r>
      <w:r>
        <w:rPr>
          <w:lang w:val="en-US"/>
        </w:rPr>
        <w:t xml:space="preserve"> and t</w:t>
      </w:r>
      <w:r w:rsidRPr="001A7E42">
        <w:rPr>
          <w:lang w:val="en-US"/>
        </w:rPr>
        <w:t>he</w:t>
      </w:r>
      <w:r>
        <w:rPr>
          <w:lang w:val="en-US"/>
        </w:rPr>
        <w:t>refore, the</w:t>
      </w:r>
      <w:r w:rsidRPr="001A7E42">
        <w:rPr>
          <w:lang w:val="en-US"/>
        </w:rPr>
        <w:t xml:space="preserve"> K/Al vs Na/Al plots should always be used in conjunction with an Al-K-Mg ternary plot. </w:t>
      </w:r>
    </w:p>
    <w:p w14:paraId="34663FB4" w14:textId="77777777" w:rsidR="00512C17" w:rsidRDefault="00512C17" w:rsidP="00512C17">
      <w:pPr>
        <w:rPr>
          <w:lang w:val="en-US"/>
        </w:rPr>
      </w:pPr>
      <w:r w:rsidRPr="001A7E42">
        <w:rPr>
          <w:lang w:val="en-US"/>
        </w:rPr>
        <w:t xml:space="preserve">The example </w:t>
      </w:r>
      <w:r>
        <w:rPr>
          <w:lang w:val="en-US"/>
        </w:rPr>
        <w:t>in figure 9</w:t>
      </w:r>
      <w:r w:rsidRPr="001A7E42">
        <w:rPr>
          <w:lang w:val="en-US"/>
        </w:rPr>
        <w:t xml:space="preserve"> shows a trend of points between the projected compositions of muscovite and chlorite, a trend of points from muscovite to the Al-apex (kaolinite), and a trend of points from K feldspar to chlorite. </w:t>
      </w:r>
      <w:r>
        <w:rPr>
          <w:lang w:val="en-US"/>
        </w:rPr>
        <w:t>This example is from an unconformity uranium deposit. This plot is also very useful in porphyry copper deposits because a</w:t>
      </w:r>
      <w:r w:rsidRPr="001A7E42">
        <w:rPr>
          <w:lang w:val="en-US"/>
        </w:rPr>
        <w:t xml:space="preserve">dvanced argillic alteration assemblages are always depleted in Mg as well as Na. </w:t>
      </w:r>
    </w:p>
    <w:p w14:paraId="51A6B422" w14:textId="77777777" w:rsidR="00512C17" w:rsidRPr="00AC7B38" w:rsidRDefault="00512C17" w:rsidP="00512C17">
      <w:pPr>
        <w:rPr>
          <w:lang w:val="en-US"/>
        </w:rPr>
      </w:pPr>
      <w:r>
        <w:rPr>
          <w:lang w:val="en-US"/>
        </w:rPr>
        <w:t xml:space="preserve">It is impossible to differentiate between different types of advanced argillic alteration using compositional data, as advance argillic minerals formed at different temperatures are only </w:t>
      </w:r>
      <w:r>
        <w:rPr>
          <w:lang w:val="en-US"/>
        </w:rPr>
        <w:lastRenderedPageBreak/>
        <w:t xml:space="preserve">composed of Al and Si as major elements (e.g. Pyrophyllite, Dickite, Kaolinite). Likewise, it is difficult to differentiate weathering that typically has kaolinite, from advance argillic alteration that can have a </w:t>
      </w:r>
      <w:proofErr w:type="spellStart"/>
      <w:r>
        <w:rPr>
          <w:lang w:val="en-US"/>
        </w:rPr>
        <w:t>higer</w:t>
      </w:r>
      <w:proofErr w:type="spellEnd"/>
      <w:r>
        <w:rPr>
          <w:lang w:val="en-US"/>
        </w:rPr>
        <w:t xml:space="preserve"> temperature mineralogy. Short wave infrared mineralogy is particularly useful for this purpose. Furthermore, is an independent data set to the compositional data set, as it relies of spectral absorptions to identified minerals. If spectral data is available, it should be merged with the compositional data at this stage, to cross-check the mineralogy of the inferred alteration types and shed light into the advanced argillic mineralogy. </w:t>
      </w:r>
    </w:p>
    <w:p w14:paraId="7D7BBE6E" w14:textId="77AC9F40" w:rsidR="00512C17" w:rsidRDefault="00512C17" w:rsidP="00512C17">
      <w:pPr>
        <w:rPr>
          <w:lang w:val="en-US"/>
        </w:rPr>
      </w:pPr>
      <w:r>
        <w:rPr>
          <w:lang w:val="en-US"/>
        </w:rPr>
        <w:t xml:space="preserve"> </w:t>
      </w:r>
    </w:p>
    <w:p w14:paraId="58C0145B" w14:textId="77777777" w:rsidR="009235A9" w:rsidRDefault="00F65F08" w:rsidP="009235A9">
      <w:pPr>
        <w:keepNext/>
      </w:pPr>
      <w:r w:rsidRPr="00F65F08">
        <w:rPr>
          <w:noProof/>
        </w:rPr>
        <w:drawing>
          <wp:inline distT="0" distB="0" distL="0" distR="0" wp14:anchorId="58D7A8E1" wp14:editId="56EE6629">
            <wp:extent cx="3600000" cy="2246311"/>
            <wp:effectExtent l="0" t="0" r="6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246311"/>
                    </a:xfrm>
                    <a:prstGeom prst="rect">
                      <a:avLst/>
                    </a:prstGeom>
                    <a:noFill/>
                    <a:ln>
                      <a:noFill/>
                    </a:ln>
                  </pic:spPr>
                </pic:pic>
              </a:graphicData>
            </a:graphic>
          </wp:inline>
        </w:drawing>
      </w:r>
    </w:p>
    <w:p w14:paraId="6C3E71EE" w14:textId="0066B6B3" w:rsidR="00F65F08" w:rsidRDefault="009235A9" w:rsidP="009235A9">
      <w:pPr>
        <w:pStyle w:val="Caption"/>
        <w:rPr>
          <w:lang w:val="en-US"/>
        </w:rPr>
      </w:pPr>
      <w:r>
        <w:t xml:space="preserve">Figure </w:t>
      </w:r>
      <w:fldSimple w:instr=" SEQ Figure \* ARABIC ">
        <w:r w:rsidR="00674243">
          <w:rPr>
            <w:noProof/>
          </w:rPr>
          <w:t>10</w:t>
        </w:r>
      </w:fldSimple>
      <w:r>
        <w:t>. Ca vs Mg.</w:t>
      </w:r>
    </w:p>
    <w:p w14:paraId="4DE968CE" w14:textId="4AEA1A85" w:rsidR="001A7E42" w:rsidRDefault="009235A9" w:rsidP="001A7E42">
      <w:pPr>
        <w:rPr>
          <w:lang w:val="en-US"/>
        </w:rPr>
      </w:pPr>
      <w:r>
        <w:rPr>
          <w:lang w:val="en-US"/>
        </w:rPr>
        <w:t xml:space="preserve">Figure 10 </w:t>
      </w:r>
      <w:r w:rsidR="00620841">
        <w:rPr>
          <w:lang w:val="en-US"/>
        </w:rPr>
        <w:t>shows</w:t>
      </w:r>
      <w:r>
        <w:rPr>
          <w:lang w:val="en-US"/>
        </w:rPr>
        <w:t xml:space="preserve"> a plot of Ca vs Mg from a sediment-hosted base metal system. </w:t>
      </w:r>
      <w:r w:rsidR="001A7E42" w:rsidRPr="001A7E42">
        <w:rPr>
          <w:lang w:val="en-US"/>
        </w:rPr>
        <w:t>The dolomite line shows a molar ratio of 1:1. Samples with pure dolomite (+/- quartz-</w:t>
      </w:r>
      <w:proofErr w:type="spellStart"/>
      <w:r w:rsidR="001A7E42" w:rsidRPr="001A7E42">
        <w:rPr>
          <w:lang w:val="en-US"/>
        </w:rPr>
        <w:t>illite</w:t>
      </w:r>
      <w:proofErr w:type="spellEnd"/>
      <w:r w:rsidR="001A7E42" w:rsidRPr="001A7E42">
        <w:rPr>
          <w:lang w:val="en-US"/>
        </w:rPr>
        <w:t>-pyrite) would plot on this line.</w:t>
      </w:r>
      <w:r>
        <w:rPr>
          <w:lang w:val="en-US"/>
        </w:rPr>
        <w:t xml:space="preserve"> </w:t>
      </w:r>
      <w:r w:rsidR="001A7E42" w:rsidRPr="001A7E42">
        <w:rPr>
          <w:lang w:val="en-US"/>
        </w:rPr>
        <w:t>The samples in blue show a strongly linear trend, suggesting a carbonate control, but they plot above the dolomite line because it is a ferroan dolomite.</w:t>
      </w:r>
      <w:r>
        <w:rPr>
          <w:lang w:val="en-US"/>
        </w:rPr>
        <w:t xml:space="preserve"> </w:t>
      </w:r>
      <w:r w:rsidR="001F538B">
        <w:rPr>
          <w:lang w:val="en-US"/>
        </w:rPr>
        <w:t xml:space="preserve">This is a common pattern in carbonate bearing systems. In sediment-hosted systems, it is also common to see data points trending away from the projected compositions of calcite or dolomite as the primary carbonate minerals are replaced.  </w:t>
      </w:r>
    </w:p>
    <w:p w14:paraId="5DBEB428" w14:textId="77777777" w:rsidR="001F538B" w:rsidRDefault="00F65F08" w:rsidP="001F538B">
      <w:pPr>
        <w:keepNext/>
      </w:pPr>
      <w:r w:rsidRPr="00F65F08">
        <w:rPr>
          <w:noProof/>
        </w:rPr>
        <w:drawing>
          <wp:inline distT="0" distB="0" distL="0" distR="0" wp14:anchorId="5B8DFF94" wp14:editId="5C4C3B60">
            <wp:extent cx="3600000" cy="234881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348815"/>
                    </a:xfrm>
                    <a:prstGeom prst="rect">
                      <a:avLst/>
                    </a:prstGeom>
                    <a:noFill/>
                    <a:ln>
                      <a:noFill/>
                    </a:ln>
                  </pic:spPr>
                </pic:pic>
              </a:graphicData>
            </a:graphic>
          </wp:inline>
        </w:drawing>
      </w:r>
    </w:p>
    <w:p w14:paraId="7799CED7" w14:textId="695A98C8" w:rsidR="00F65F08" w:rsidRPr="001A7E42" w:rsidRDefault="001F538B" w:rsidP="001F538B">
      <w:pPr>
        <w:pStyle w:val="Caption"/>
      </w:pPr>
      <w:r>
        <w:t xml:space="preserve">Figure </w:t>
      </w:r>
      <w:fldSimple w:instr=" SEQ Figure \* ARABIC ">
        <w:r w:rsidR="00674243">
          <w:rPr>
            <w:noProof/>
          </w:rPr>
          <w:t>11</w:t>
        </w:r>
      </w:fldSimple>
      <w:r>
        <w:t>. Ca-Fe-Mg ternary plot</w:t>
      </w:r>
      <w:r w:rsidR="000550CF">
        <w:t>, showing a mixing trend between magnesian ankerite and pyrite</w:t>
      </w:r>
      <w:r>
        <w:t>.</w:t>
      </w:r>
    </w:p>
    <w:p w14:paraId="7F6F2AE5" w14:textId="5815FDF3" w:rsidR="001A7E42" w:rsidRDefault="000550CF" w:rsidP="001A7E42">
      <w:pPr>
        <w:rPr>
          <w:lang w:val="en-US"/>
        </w:rPr>
      </w:pPr>
      <w:r>
        <w:rPr>
          <w:lang w:val="en-US"/>
        </w:rPr>
        <w:t>Figure 11 is based on</w:t>
      </w:r>
      <w:r w:rsidR="001A7E42" w:rsidRPr="001A7E42">
        <w:rPr>
          <w:lang w:val="en-US"/>
        </w:rPr>
        <w:t xml:space="preserve"> the same data </w:t>
      </w:r>
      <w:r w:rsidR="00CF439D">
        <w:rPr>
          <w:lang w:val="en-US"/>
        </w:rPr>
        <w:t>as</w:t>
      </w:r>
      <w:r w:rsidR="001A7E42" w:rsidRPr="001A7E42">
        <w:rPr>
          <w:lang w:val="en-US"/>
        </w:rPr>
        <w:t xml:space="preserve"> </w:t>
      </w:r>
      <w:r w:rsidR="009235A9">
        <w:rPr>
          <w:lang w:val="en-US"/>
        </w:rPr>
        <w:t>figure 8</w:t>
      </w:r>
      <w:r w:rsidR="001A7E42" w:rsidRPr="001A7E42">
        <w:rPr>
          <w:lang w:val="en-US"/>
        </w:rPr>
        <w:t>. The mineralogy in these rocks is quartz-sericite-</w:t>
      </w:r>
      <w:r w:rsidR="001F538B">
        <w:rPr>
          <w:lang w:val="en-US"/>
        </w:rPr>
        <w:t>albite-</w:t>
      </w:r>
      <w:r w:rsidR="001A7E42" w:rsidRPr="001A7E42">
        <w:rPr>
          <w:lang w:val="en-US"/>
        </w:rPr>
        <w:t xml:space="preserve">carbonate-pyrite. All of the calcium, magnesium and iron in these rocks is in carbonate and </w:t>
      </w:r>
      <w:r w:rsidR="001A7E42" w:rsidRPr="001A7E42">
        <w:rPr>
          <w:lang w:val="en-US"/>
        </w:rPr>
        <w:lastRenderedPageBreak/>
        <w:t>pyrite. These data plot on a tight linear trend that runs from a point on the ankerite-dolomite tie line to the Fe-apex. This linear trend is controlled by mixture of magnesian ankerite and pyrite. From this, the solid solution composition of the carbonates</w:t>
      </w:r>
      <w:r w:rsidR="001F538B">
        <w:rPr>
          <w:lang w:val="en-US"/>
        </w:rPr>
        <w:t xml:space="preserve"> can be determined</w:t>
      </w:r>
      <w:r w:rsidR="001A7E42" w:rsidRPr="001A7E42">
        <w:rPr>
          <w:lang w:val="en-US"/>
        </w:rPr>
        <w:t xml:space="preserve">. </w:t>
      </w:r>
      <w:r w:rsidR="00562F54" w:rsidRPr="001A7E42">
        <w:rPr>
          <w:lang w:val="en-US"/>
        </w:rPr>
        <w:t>This would not work if there was another Fe-Mg mineral present</w:t>
      </w:r>
      <w:r w:rsidR="00562F54">
        <w:rPr>
          <w:lang w:val="en-US"/>
        </w:rPr>
        <w:t xml:space="preserve"> in the rock as</w:t>
      </w:r>
      <w:r w:rsidR="00562F54" w:rsidRPr="001A7E42">
        <w:rPr>
          <w:lang w:val="en-US"/>
        </w:rPr>
        <w:t xml:space="preserve"> chlorite.</w:t>
      </w:r>
      <w:r w:rsidR="00562F54">
        <w:rPr>
          <w:lang w:val="en-US"/>
        </w:rPr>
        <w:t xml:space="preserve"> </w:t>
      </w:r>
      <w:r w:rsidR="0074167C">
        <w:rPr>
          <w:lang w:val="en-US"/>
        </w:rPr>
        <w:t>Thus, having geological information from logging is critical to making the most robust geochemical interpretations, and testing ideas developed from evaluation of geochemical data.</w:t>
      </w:r>
    </w:p>
    <w:p w14:paraId="452FD7A9" w14:textId="5BD5CD53" w:rsidR="00D27D9F" w:rsidRDefault="00345601" w:rsidP="00D27D9F">
      <w:pPr>
        <w:keepNext/>
      </w:pPr>
      <w:r w:rsidRPr="00345601">
        <w:rPr>
          <w:noProof/>
        </w:rPr>
        <w:drawing>
          <wp:inline distT="0" distB="0" distL="0" distR="0" wp14:anchorId="5F39F31C" wp14:editId="040D84BF">
            <wp:extent cx="3600000" cy="2431376"/>
            <wp:effectExtent l="0" t="0" r="63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431376"/>
                    </a:xfrm>
                    <a:prstGeom prst="rect">
                      <a:avLst/>
                    </a:prstGeom>
                    <a:noFill/>
                    <a:ln>
                      <a:noFill/>
                    </a:ln>
                  </pic:spPr>
                </pic:pic>
              </a:graphicData>
            </a:graphic>
          </wp:inline>
        </w:drawing>
      </w:r>
    </w:p>
    <w:p w14:paraId="3D919CDC" w14:textId="07EA1943" w:rsidR="00F65F08" w:rsidRPr="001A7E42" w:rsidRDefault="00D27D9F" w:rsidP="00D27D9F">
      <w:pPr>
        <w:pStyle w:val="Caption"/>
      </w:pPr>
      <w:r>
        <w:t xml:space="preserve">Figure </w:t>
      </w:r>
      <w:fldSimple w:instr=" SEQ Figure \* ARABIC ">
        <w:r w:rsidR="00674243">
          <w:rPr>
            <w:noProof/>
          </w:rPr>
          <w:t>12</w:t>
        </w:r>
      </w:fldSimple>
      <w:r>
        <w:t>. Ca-K-Na ternary plot.</w:t>
      </w:r>
    </w:p>
    <w:p w14:paraId="5E691505" w14:textId="2327723C" w:rsidR="00562F54" w:rsidRDefault="00562F54" w:rsidP="001A7E42">
      <w:pPr>
        <w:rPr>
          <w:lang w:val="en-US"/>
        </w:rPr>
      </w:pPr>
      <w:r>
        <w:rPr>
          <w:lang w:val="en-US"/>
        </w:rPr>
        <w:t>Figure 12 shows</w:t>
      </w:r>
      <w:r w:rsidRPr="001A7E42">
        <w:rPr>
          <w:lang w:val="en-US"/>
        </w:rPr>
        <w:t xml:space="preserve"> a data set of about 5000 assays from the stringer zone in the Hellyer VMS deposit</w:t>
      </w:r>
      <w:r>
        <w:rPr>
          <w:lang w:val="en-US"/>
        </w:rPr>
        <w:t xml:space="preserve"> (</w:t>
      </w:r>
      <w:r w:rsidRPr="00AA2741">
        <w:rPr>
          <w:lang w:val="en-US"/>
        </w:rPr>
        <w:t>Gemmell and Large, 1992</w:t>
      </w:r>
      <w:r>
        <w:rPr>
          <w:lang w:val="en-US"/>
        </w:rPr>
        <w:t>)</w:t>
      </w:r>
      <w:r w:rsidRPr="001A7E42">
        <w:rPr>
          <w:lang w:val="en-US"/>
        </w:rPr>
        <w:t xml:space="preserve">. The least-altered samples plot somewhere near the projected compositions of a standard dacite or andesite. A characteristic of alteration in VMS systems is depletion of Na. This plot shows that in many samples, Na is depleted, but Ca is retained (as carbonate). Depletion of Na but retention of Ca causes the data points to move directly away from the Na apex, on to the Ca-K edge of the </w:t>
      </w:r>
      <w:r>
        <w:rPr>
          <w:lang w:val="en-US"/>
        </w:rPr>
        <w:t>ternary plot</w:t>
      </w:r>
      <w:r w:rsidRPr="001A7E42">
        <w:rPr>
          <w:lang w:val="en-US"/>
        </w:rPr>
        <w:t>. With further alteration, the data points move away from the Ca apex until they reach the K apex. Spatially, this maps a zoning pattern from relict plagioclase to sericite</w:t>
      </w:r>
      <w:r>
        <w:rPr>
          <w:lang w:val="en-US"/>
        </w:rPr>
        <w:t>-</w:t>
      </w:r>
      <w:r w:rsidRPr="001A7E42">
        <w:rPr>
          <w:lang w:val="en-US"/>
        </w:rPr>
        <w:t xml:space="preserve">carbonate to (quartz)-sericite-pyrite. The carbonate halo is not easy to </w:t>
      </w:r>
      <w:r>
        <w:rPr>
          <w:lang w:val="en-US"/>
        </w:rPr>
        <w:t>quantify</w:t>
      </w:r>
      <w:r w:rsidRPr="001A7E42">
        <w:rPr>
          <w:lang w:val="en-US"/>
        </w:rPr>
        <w:t xml:space="preserve"> from visual logging</w:t>
      </w:r>
      <w:r>
        <w:rPr>
          <w:lang w:val="en-US"/>
        </w:rPr>
        <w:t xml:space="preserve">. It is difficult to achieve consistency in visual logging of core like this, but it is easily mapped </w:t>
      </w:r>
      <w:r w:rsidRPr="001A7E42">
        <w:rPr>
          <w:lang w:val="en-US"/>
        </w:rPr>
        <w:t>from the chemistry.</w:t>
      </w:r>
      <w:r>
        <w:rPr>
          <w:lang w:val="en-US"/>
        </w:rPr>
        <w:t xml:space="preserve"> In these rocks, the carbonate content becomes most obvious after the drill core has been exposed to the atmosphere for a period of time and the surface of the ferroan carbonate becomes stained by orange iron oxides.</w:t>
      </w:r>
    </w:p>
    <w:p w14:paraId="3172E4DB" w14:textId="77777777" w:rsidR="00321920" w:rsidRDefault="00F65F08" w:rsidP="00321920">
      <w:pPr>
        <w:keepNext/>
      </w:pPr>
      <w:r w:rsidRPr="00F65F08">
        <w:rPr>
          <w:noProof/>
        </w:rPr>
        <w:lastRenderedPageBreak/>
        <w:drawing>
          <wp:inline distT="0" distB="0" distL="0" distR="0" wp14:anchorId="00175270" wp14:editId="028BCDE7">
            <wp:extent cx="3600000" cy="2655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2655075"/>
                    </a:xfrm>
                    <a:prstGeom prst="rect">
                      <a:avLst/>
                    </a:prstGeom>
                    <a:noFill/>
                    <a:ln>
                      <a:noFill/>
                    </a:ln>
                  </pic:spPr>
                </pic:pic>
              </a:graphicData>
            </a:graphic>
          </wp:inline>
        </w:drawing>
      </w:r>
    </w:p>
    <w:p w14:paraId="0590695C" w14:textId="45A9AB6A" w:rsidR="00F65F08" w:rsidRPr="001A7E42" w:rsidRDefault="00321920" w:rsidP="00321920">
      <w:pPr>
        <w:pStyle w:val="Caption"/>
      </w:pPr>
      <w:r>
        <w:t xml:space="preserve">Figure </w:t>
      </w:r>
      <w:fldSimple w:instr=" SEQ Figure \* ARABIC ">
        <w:r w:rsidR="00674243">
          <w:rPr>
            <w:noProof/>
          </w:rPr>
          <w:t>13</w:t>
        </w:r>
      </w:fldSimple>
      <w:r>
        <w:t>. Ca-K-Na ternary plot.</w:t>
      </w:r>
    </w:p>
    <w:p w14:paraId="2F48332C" w14:textId="7E310B3A" w:rsidR="001A7E42" w:rsidRDefault="00AE5617" w:rsidP="00674243">
      <w:pPr>
        <w:rPr>
          <w:lang w:val="en-US"/>
        </w:rPr>
      </w:pPr>
      <w:r>
        <w:rPr>
          <w:lang w:val="en-US"/>
        </w:rPr>
        <w:t xml:space="preserve">The data in figure 13 comes from </w:t>
      </w:r>
      <w:r w:rsidR="001A7E42" w:rsidRPr="001A7E42">
        <w:rPr>
          <w:lang w:val="en-US"/>
        </w:rPr>
        <w:t>a collection of surface rock chip samples from the Yerington porphyry Cu district</w:t>
      </w:r>
      <w:r>
        <w:rPr>
          <w:lang w:val="en-US"/>
        </w:rPr>
        <w:t xml:space="preserve"> (</w:t>
      </w:r>
      <w:r w:rsidRPr="00AA2741">
        <w:rPr>
          <w:lang w:val="en-US"/>
        </w:rPr>
        <w:t>Halley et al., 2015</w:t>
      </w:r>
      <w:r>
        <w:rPr>
          <w:lang w:val="en-US"/>
        </w:rPr>
        <w:t>)</w:t>
      </w:r>
      <w:r w:rsidR="001A7E42" w:rsidRPr="001A7E42">
        <w:rPr>
          <w:lang w:val="en-US"/>
        </w:rPr>
        <w:t xml:space="preserve">. The ellipse in the center shows where the least-altered rocks plot. There is a range of hydrothermal feldspar compositions from </w:t>
      </w:r>
      <w:r w:rsidR="00674243">
        <w:rPr>
          <w:lang w:val="en-US"/>
        </w:rPr>
        <w:t>o</w:t>
      </w:r>
      <w:r w:rsidR="001A7E42" w:rsidRPr="001A7E42">
        <w:rPr>
          <w:lang w:val="en-US"/>
        </w:rPr>
        <w:t xml:space="preserve">ligoclase to </w:t>
      </w:r>
      <w:r w:rsidR="00674243">
        <w:rPr>
          <w:lang w:val="en-US"/>
        </w:rPr>
        <w:t>a</w:t>
      </w:r>
      <w:r w:rsidR="001A7E42" w:rsidRPr="001A7E42">
        <w:rPr>
          <w:lang w:val="en-US"/>
        </w:rPr>
        <w:t xml:space="preserve">lbite to alkali feldspar to </w:t>
      </w:r>
      <w:r w:rsidR="00674243">
        <w:rPr>
          <w:lang w:val="en-US"/>
        </w:rPr>
        <w:t>o</w:t>
      </w:r>
      <w:r w:rsidR="001A7E42" w:rsidRPr="001A7E42">
        <w:rPr>
          <w:lang w:val="en-US"/>
        </w:rPr>
        <w:t>rthoclase. These map out very distinct zones around the porphyry Cu environment.</w:t>
      </w:r>
      <w:r w:rsidR="00674243">
        <w:rPr>
          <w:lang w:val="en-US"/>
        </w:rPr>
        <w:t xml:space="preserve"> The red points in figure 15 include samples with both orthoclase and muscovite. A </w:t>
      </w:r>
      <w:r w:rsidR="001A7E42" w:rsidRPr="001A7E42">
        <w:rPr>
          <w:lang w:val="en-US"/>
        </w:rPr>
        <w:t xml:space="preserve">plot that includes K/Al ratios is required to differentiate </w:t>
      </w:r>
      <w:r w:rsidR="00674243">
        <w:rPr>
          <w:lang w:val="en-US"/>
        </w:rPr>
        <w:t>o</w:t>
      </w:r>
      <w:r w:rsidR="001A7E42" w:rsidRPr="001A7E42">
        <w:rPr>
          <w:lang w:val="en-US"/>
        </w:rPr>
        <w:t>rthoclase</w:t>
      </w:r>
      <w:r w:rsidR="00674243">
        <w:rPr>
          <w:lang w:val="en-US"/>
        </w:rPr>
        <w:t>-rich</w:t>
      </w:r>
      <w:r w:rsidR="001A7E42" w:rsidRPr="001A7E42">
        <w:rPr>
          <w:lang w:val="en-US"/>
        </w:rPr>
        <w:t xml:space="preserve"> from </w:t>
      </w:r>
      <w:r w:rsidR="00674243">
        <w:rPr>
          <w:lang w:val="en-US"/>
        </w:rPr>
        <w:t xml:space="preserve">muscovite-rich samples within this group. </w:t>
      </w:r>
      <w:r w:rsidR="001A7E42" w:rsidRPr="001A7E42">
        <w:rPr>
          <w:lang w:val="en-US"/>
        </w:rPr>
        <w:t xml:space="preserve"> in the cluster of red points.</w:t>
      </w:r>
      <w:r w:rsidR="00EB5A67">
        <w:rPr>
          <w:lang w:val="en-US"/>
        </w:rPr>
        <w:t xml:space="preserve"> </w:t>
      </w:r>
      <w:r w:rsidR="004D1531">
        <w:rPr>
          <w:lang w:val="en-US"/>
        </w:rPr>
        <w:t>In high salinity hydrothermal systems, it is very common for feldspar-rich alteration to form at the expense of phyllosilicates. Visually identifying the various feldspar species is very difficult</w:t>
      </w:r>
      <w:r w:rsidR="00CF439D">
        <w:rPr>
          <w:lang w:val="en-US"/>
        </w:rPr>
        <w:t xml:space="preserve"> (</w:t>
      </w:r>
      <w:proofErr w:type="spellStart"/>
      <w:r w:rsidR="00CF439D">
        <w:rPr>
          <w:lang w:val="en-US"/>
        </w:rPr>
        <w:t>Escolme</w:t>
      </w:r>
      <w:proofErr w:type="spellEnd"/>
      <w:r w:rsidR="00CF439D">
        <w:rPr>
          <w:lang w:val="en-US"/>
        </w:rPr>
        <w:t xml:space="preserve"> et al., 2019)</w:t>
      </w:r>
      <w:r w:rsidR="004D1531">
        <w:rPr>
          <w:lang w:val="en-US"/>
        </w:rPr>
        <w:t xml:space="preserve">. </w:t>
      </w:r>
    </w:p>
    <w:p w14:paraId="00CC13F1" w14:textId="77777777" w:rsidR="00674243" w:rsidRDefault="00F65F08" w:rsidP="00674243">
      <w:pPr>
        <w:keepNext/>
      </w:pPr>
      <w:r w:rsidRPr="00F65F08">
        <w:rPr>
          <w:noProof/>
        </w:rPr>
        <w:drawing>
          <wp:inline distT="0" distB="0" distL="0" distR="0" wp14:anchorId="21C185E9" wp14:editId="50055060">
            <wp:extent cx="3600000" cy="2244316"/>
            <wp:effectExtent l="0" t="0" r="63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244316"/>
                    </a:xfrm>
                    <a:prstGeom prst="rect">
                      <a:avLst/>
                    </a:prstGeom>
                    <a:noFill/>
                    <a:ln>
                      <a:noFill/>
                    </a:ln>
                  </pic:spPr>
                </pic:pic>
              </a:graphicData>
            </a:graphic>
          </wp:inline>
        </w:drawing>
      </w:r>
    </w:p>
    <w:p w14:paraId="2BBFA73C" w14:textId="3C2363DC" w:rsidR="00F65F08" w:rsidRPr="001A7E42" w:rsidRDefault="00674243" w:rsidP="00674243">
      <w:pPr>
        <w:pStyle w:val="Caption"/>
      </w:pPr>
      <w:r>
        <w:t xml:space="preserve">Figure </w:t>
      </w:r>
      <w:fldSimple w:instr=" SEQ Figure \* ARABIC ">
        <w:r>
          <w:rPr>
            <w:noProof/>
          </w:rPr>
          <w:t>14</w:t>
        </w:r>
      </w:fldSimple>
      <w:r>
        <w:t>. Fe vs S</w:t>
      </w:r>
    </w:p>
    <w:p w14:paraId="0CDD817C" w14:textId="182BC600" w:rsidR="00D74CEF" w:rsidRDefault="001A7E42" w:rsidP="00D74CEF">
      <w:pPr>
        <w:rPr>
          <w:lang w:val="en-US"/>
        </w:rPr>
      </w:pPr>
      <w:r w:rsidRPr="001A7E42">
        <w:rPr>
          <w:lang w:val="en-US"/>
        </w:rPr>
        <w:t xml:space="preserve">Although Fe is quite mobile, in most hydrothermal systems involving low to moderate salinity fluids, a plot of Fe against S shows that pyrite is formed by adding </w:t>
      </w:r>
      <w:r w:rsidR="00D74CEF">
        <w:rPr>
          <w:lang w:val="en-US"/>
        </w:rPr>
        <w:t>s</w:t>
      </w:r>
      <w:r w:rsidRPr="001A7E42">
        <w:rPr>
          <w:lang w:val="en-US"/>
        </w:rPr>
        <w:t>ulfur and utilizing Fe that is already present in the rock</w:t>
      </w:r>
      <w:r w:rsidR="00D74CEF">
        <w:rPr>
          <w:lang w:val="en-US"/>
        </w:rPr>
        <w:t xml:space="preserve"> (fig 14)</w:t>
      </w:r>
      <w:r w:rsidRPr="001A7E42">
        <w:rPr>
          <w:lang w:val="en-US"/>
        </w:rPr>
        <w:t xml:space="preserve">. When all of the available Fe in a rock has reacted to form pyrite, samples plot on the pyrite line, with a molar ratio of </w:t>
      </w:r>
      <w:proofErr w:type="spellStart"/>
      <w:r w:rsidRPr="001A7E42">
        <w:rPr>
          <w:lang w:val="en-US"/>
        </w:rPr>
        <w:t>Fe:S</w:t>
      </w:r>
      <w:proofErr w:type="spellEnd"/>
      <w:r w:rsidRPr="001A7E42">
        <w:rPr>
          <w:lang w:val="en-US"/>
        </w:rPr>
        <w:t xml:space="preserve"> = 1:2. </w:t>
      </w:r>
      <w:r w:rsidR="00D74CEF">
        <w:rPr>
          <w:lang w:val="en-US"/>
        </w:rPr>
        <w:t xml:space="preserve">Where pyrite-bearing veins are present in the samples, the data points plot at higher values on the pyrite line. A </w:t>
      </w:r>
      <w:proofErr w:type="spellStart"/>
      <w:r w:rsidR="00D74CEF">
        <w:rPr>
          <w:lang w:val="en-US"/>
        </w:rPr>
        <w:t>sulfur:iron</w:t>
      </w:r>
      <w:proofErr w:type="spellEnd"/>
      <w:r w:rsidR="00D74CEF">
        <w:rPr>
          <w:lang w:val="en-US"/>
        </w:rPr>
        <w:t xml:space="preserve"> ratio, or sulfidation index is a more accurate representation of the intensity of alteration than just total S content.</w:t>
      </w:r>
    </w:p>
    <w:p w14:paraId="723693E6" w14:textId="77777777" w:rsidR="00D74CEF" w:rsidRDefault="00D74CEF" w:rsidP="00D74CEF">
      <w:pPr>
        <w:rPr>
          <w:lang w:val="en-US"/>
        </w:rPr>
      </w:pPr>
    </w:p>
    <w:p w14:paraId="6308CA37" w14:textId="584356E7" w:rsidR="00674243" w:rsidRDefault="0001004C" w:rsidP="00D74CEF">
      <w:r w:rsidRPr="0001004C">
        <w:rPr>
          <w:noProof/>
        </w:rPr>
        <w:lastRenderedPageBreak/>
        <w:drawing>
          <wp:inline distT="0" distB="0" distL="0" distR="0" wp14:anchorId="38BAD9D9" wp14:editId="19852E55">
            <wp:extent cx="3600000" cy="26882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688234"/>
                    </a:xfrm>
                    <a:prstGeom prst="rect">
                      <a:avLst/>
                    </a:prstGeom>
                    <a:noFill/>
                    <a:ln>
                      <a:noFill/>
                    </a:ln>
                  </pic:spPr>
                </pic:pic>
              </a:graphicData>
            </a:graphic>
          </wp:inline>
        </w:drawing>
      </w:r>
    </w:p>
    <w:p w14:paraId="720DD92C" w14:textId="4D01FDDC" w:rsidR="00F65F08" w:rsidRPr="001A7E42" w:rsidRDefault="00674243" w:rsidP="00674243">
      <w:pPr>
        <w:pStyle w:val="Caption"/>
      </w:pPr>
      <w:r>
        <w:t xml:space="preserve">Figure </w:t>
      </w:r>
      <w:fldSimple w:instr=" SEQ Figure \* ARABIC ">
        <w:r>
          <w:rPr>
            <w:noProof/>
          </w:rPr>
          <w:t>15</w:t>
        </w:r>
      </w:fldSimple>
      <w:r>
        <w:t>. Ca-Fe-S ternary plot.</w:t>
      </w:r>
    </w:p>
    <w:p w14:paraId="610E3F02" w14:textId="3A88A40F" w:rsidR="001A7E42" w:rsidRPr="001A7E42" w:rsidRDefault="001A7E42" w:rsidP="001A7E42">
      <w:r w:rsidRPr="001A7E42">
        <w:rPr>
          <w:lang w:val="en-US"/>
        </w:rPr>
        <w:t>A Ca-Fe-S ternary plot is a useful way to look at the relative importance of pyrite and anhydrite in porphyry Cu systems</w:t>
      </w:r>
      <w:r w:rsidR="00D74CEF">
        <w:rPr>
          <w:lang w:val="en-US"/>
        </w:rPr>
        <w:t xml:space="preserve"> (fig 15)</w:t>
      </w:r>
      <w:r w:rsidRPr="001A7E42">
        <w:rPr>
          <w:lang w:val="en-US"/>
        </w:rPr>
        <w:t xml:space="preserve">. </w:t>
      </w:r>
      <w:r w:rsidR="00D74CEF">
        <w:rPr>
          <w:lang w:val="en-US"/>
        </w:rPr>
        <w:t>With the addition of</w:t>
      </w:r>
      <w:r w:rsidRPr="001A7E42">
        <w:rPr>
          <w:lang w:val="en-US"/>
        </w:rPr>
        <w:t xml:space="preserve"> sulfur to </w:t>
      </w:r>
      <w:r w:rsidR="00D74CEF">
        <w:rPr>
          <w:lang w:val="en-US"/>
        </w:rPr>
        <w:t>a</w:t>
      </w:r>
      <w:r w:rsidRPr="001A7E42">
        <w:rPr>
          <w:lang w:val="en-US"/>
        </w:rPr>
        <w:t xml:space="preserve"> rock, the data points move from the least-altered composition towards the S apex. In some parts of the porphyry Cu environment, anhydrite is formed without sulfides, but feldspars (Na-K) remain stable. In that case, the amount of S that can be added is limited by the amount of Ca in the rocks. These samples plot on the tie</w:t>
      </w:r>
      <w:r w:rsidR="00CF439D">
        <w:rPr>
          <w:lang w:val="en-US"/>
        </w:rPr>
        <w:t>-</w:t>
      </w:r>
      <w:r w:rsidRPr="001A7E42">
        <w:rPr>
          <w:lang w:val="en-US"/>
        </w:rPr>
        <w:t>line between anhydrite and the Fe-apex (biotite, magnetite).</w:t>
      </w:r>
    </w:p>
    <w:p w14:paraId="7A94212A" w14:textId="77777777" w:rsidR="001A7E42" w:rsidRPr="001A7E42" w:rsidRDefault="001A7E42" w:rsidP="001A7E42">
      <w:r w:rsidRPr="001A7E42">
        <w:rPr>
          <w:lang w:val="en-US"/>
        </w:rPr>
        <w:t>In other parts of the porphyry Cu environment, pyrite is formed without anhydrite, and feldspars are destroyed. In this case, the amount of S that can be added is limited by the amount of Fe in the rock. These samples will plot along a trend from the projected position of the least-altered rock towards the Pyrite node on the Fe-S join.</w:t>
      </w:r>
    </w:p>
    <w:p w14:paraId="1FC9489D" w14:textId="77777777" w:rsidR="001A7E42" w:rsidRPr="001A7E42" w:rsidRDefault="001A7E42" w:rsidP="001A7E42">
      <w:r w:rsidRPr="001A7E42">
        <w:rPr>
          <w:lang w:val="en-US"/>
        </w:rPr>
        <w:t>In the example shown in this plot, the data points mostly plot along the join between anhydrite and pyrite. The amount of S that was added was limited by the amount of Ca + Fe in the rock.</w:t>
      </w:r>
    </w:p>
    <w:p w14:paraId="543D4754" w14:textId="77777777" w:rsidR="00674243" w:rsidRDefault="00F65F08" w:rsidP="00674243">
      <w:pPr>
        <w:keepNext/>
      </w:pPr>
      <w:r w:rsidRPr="00F65F08">
        <w:rPr>
          <w:noProof/>
        </w:rPr>
        <w:drawing>
          <wp:inline distT="0" distB="0" distL="0" distR="0" wp14:anchorId="676EEE5A" wp14:editId="700F9E01">
            <wp:extent cx="3600000" cy="2190871"/>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190871"/>
                    </a:xfrm>
                    <a:prstGeom prst="rect">
                      <a:avLst/>
                    </a:prstGeom>
                    <a:noFill/>
                    <a:ln>
                      <a:noFill/>
                    </a:ln>
                  </pic:spPr>
                </pic:pic>
              </a:graphicData>
            </a:graphic>
          </wp:inline>
        </w:drawing>
      </w:r>
    </w:p>
    <w:p w14:paraId="095AFFB9" w14:textId="5BEC0378" w:rsidR="00F65F08" w:rsidRDefault="00674243" w:rsidP="00674243">
      <w:pPr>
        <w:pStyle w:val="Caption"/>
        <w:rPr>
          <w:lang w:val="en-US"/>
        </w:rPr>
      </w:pPr>
      <w:r>
        <w:t xml:space="preserve">Figure </w:t>
      </w:r>
      <w:fldSimple w:instr=" SEQ Figure \* ARABIC ">
        <w:r>
          <w:rPr>
            <w:noProof/>
          </w:rPr>
          <w:t>16</w:t>
        </w:r>
      </w:fldSimple>
      <w:r>
        <w:t xml:space="preserve">. </w:t>
      </w:r>
      <w:proofErr w:type="spellStart"/>
      <w:r>
        <w:t>Rb</w:t>
      </w:r>
      <w:proofErr w:type="spellEnd"/>
      <w:r>
        <w:t xml:space="preserve"> vs K</w:t>
      </w:r>
      <w:r w:rsidR="00D74CEF">
        <w:t>, with data points coloured by the dominant mineral measured from a SWIR spectrum.</w:t>
      </w:r>
    </w:p>
    <w:p w14:paraId="0D9BFA09" w14:textId="313DCF57" w:rsidR="001A7E42" w:rsidRDefault="001A7E42" w:rsidP="001A7E42">
      <w:pPr>
        <w:rPr>
          <w:lang w:val="en-US"/>
        </w:rPr>
      </w:pPr>
      <w:r w:rsidRPr="001A7E42">
        <w:rPr>
          <w:lang w:val="en-US"/>
        </w:rPr>
        <w:t xml:space="preserve">Rubidium substitutes for </w:t>
      </w:r>
      <w:r w:rsidR="00D74CEF">
        <w:rPr>
          <w:lang w:val="en-US"/>
        </w:rPr>
        <w:t>potassium</w:t>
      </w:r>
      <w:r w:rsidRPr="001A7E42">
        <w:rPr>
          <w:lang w:val="en-US"/>
        </w:rPr>
        <w:t xml:space="preserve"> into silicate minerals, but it does not substitute into sulfates.</w:t>
      </w:r>
      <w:r w:rsidR="00D74CEF">
        <w:rPr>
          <w:lang w:val="en-US"/>
        </w:rPr>
        <w:t xml:space="preserve"> This property is very useful for distinguishing alunite-bearing samples in an assay table. Figure 16 shows </w:t>
      </w:r>
      <w:r w:rsidR="00AA2741">
        <w:rPr>
          <w:lang w:val="en-US"/>
        </w:rPr>
        <w:t>two</w:t>
      </w:r>
      <w:r w:rsidR="00D74CEF">
        <w:rPr>
          <w:lang w:val="en-US"/>
        </w:rPr>
        <w:t xml:space="preserve"> different suites of rocks with different linear K vs </w:t>
      </w:r>
      <w:proofErr w:type="spellStart"/>
      <w:r w:rsidR="00D74CEF">
        <w:rPr>
          <w:lang w:val="en-US"/>
        </w:rPr>
        <w:t>Rb</w:t>
      </w:r>
      <w:proofErr w:type="spellEnd"/>
      <w:r w:rsidR="00D74CEF">
        <w:rPr>
          <w:lang w:val="en-US"/>
        </w:rPr>
        <w:t xml:space="preserve"> trends. The data points that have K </w:t>
      </w:r>
      <w:r w:rsidR="00D74CEF">
        <w:rPr>
          <w:lang w:val="en-US"/>
        </w:rPr>
        <w:lastRenderedPageBreak/>
        <w:t xml:space="preserve">with no </w:t>
      </w:r>
      <w:proofErr w:type="spellStart"/>
      <w:r w:rsidR="00D74CEF">
        <w:rPr>
          <w:lang w:val="en-US"/>
        </w:rPr>
        <w:t>Rb</w:t>
      </w:r>
      <w:proofErr w:type="spellEnd"/>
      <w:r w:rsidR="00D74CEF">
        <w:rPr>
          <w:lang w:val="en-US"/>
        </w:rPr>
        <w:t xml:space="preserve"> are samples where alunite was identified from SWIR spectra collected with a </w:t>
      </w:r>
      <w:proofErr w:type="spellStart"/>
      <w:r w:rsidR="00D74CEF">
        <w:rPr>
          <w:lang w:val="en-US"/>
        </w:rPr>
        <w:t>TerraSpec</w:t>
      </w:r>
      <w:proofErr w:type="spellEnd"/>
      <w:r w:rsidR="00D74CEF">
        <w:rPr>
          <w:lang w:val="en-US"/>
        </w:rPr>
        <w:t xml:space="preserve"> instrument.</w:t>
      </w:r>
    </w:p>
    <w:p w14:paraId="1E244C18" w14:textId="507D6F1D" w:rsidR="001A7E42" w:rsidRPr="0022236F" w:rsidRDefault="00D74CEF" w:rsidP="00D74CEF">
      <w:pPr>
        <w:pStyle w:val="Heading1"/>
        <w:rPr>
          <w:color w:val="auto"/>
          <w:lang w:val="en-US"/>
        </w:rPr>
      </w:pPr>
      <w:r w:rsidRPr="0022236F">
        <w:rPr>
          <w:color w:val="auto"/>
          <w:lang w:val="en-US"/>
        </w:rPr>
        <w:t>Conclusions</w:t>
      </w:r>
    </w:p>
    <w:p w14:paraId="7201A728" w14:textId="10E59A77" w:rsidR="00D74CEF" w:rsidRPr="000A620A" w:rsidRDefault="00AA2741" w:rsidP="001A7E42">
      <w:r>
        <w:t xml:space="preserve">Many mining companies are now routinely acquiring </w:t>
      </w:r>
      <w:r w:rsidR="00E333DF">
        <w:t>four-acid digest</w:t>
      </w:r>
      <w:r>
        <w:t xml:space="preserve"> ICP-AES/MS geochemical analyses from drill samples throughout entire orebodies. Immobile trace elements can be used to identify compositional groups within the data. Pairs of trace elements that have a common host mineral provide sensitive indicators of magmatic fractionation. </w:t>
      </w:r>
      <w:r w:rsidR="00322F1E">
        <w:t xml:space="preserve">Scatterplots of major elements can be designed to demonstrate alteration reaction paths and to quantify the intensity of alteration. Using the chemistry as a supplement to visual logging overcomes much of the subjectivity and observer bias that is inherent in logging. This leads to much more robust models of mineral deposits that improves the understanding of ore deposit formation, ore type characterization and metallurgical domaining. </w:t>
      </w:r>
      <w:r w:rsidR="00322F1E" w:rsidRPr="000A620A">
        <w:t xml:space="preserve">The next logical development that </w:t>
      </w:r>
      <w:r w:rsidR="000A620A">
        <w:t>should follow on from this should be</w:t>
      </w:r>
      <w:r w:rsidR="00322F1E" w:rsidRPr="000A620A">
        <w:t xml:space="preserve"> quantitative estimations of mineralogy from assay data.</w:t>
      </w:r>
    </w:p>
    <w:p w14:paraId="4874B08F" w14:textId="396B807B" w:rsidR="00B15A2D" w:rsidRPr="00B15A2D" w:rsidRDefault="00B15A2D" w:rsidP="00B15A2D">
      <w:pPr>
        <w:pStyle w:val="Heading1"/>
        <w:rPr>
          <w:color w:val="auto"/>
        </w:rPr>
      </w:pPr>
      <w:r w:rsidRPr="00B15A2D">
        <w:rPr>
          <w:color w:val="auto"/>
        </w:rPr>
        <w:t>Acknowledgements</w:t>
      </w:r>
    </w:p>
    <w:p w14:paraId="1FA3F937" w14:textId="3900A19C" w:rsidR="00B15A2D" w:rsidRDefault="00B15A2D">
      <w:r>
        <w:t xml:space="preserve">The author has greatly benefitted from many years of mentoring and collaboration with Simon Gatehouse, Greg Hall, John Walshe, John </w:t>
      </w:r>
      <w:proofErr w:type="spellStart"/>
      <w:r>
        <w:t>Dilles</w:t>
      </w:r>
      <w:proofErr w:type="spellEnd"/>
      <w:r>
        <w:t xml:space="preserve"> and Dick </w:t>
      </w:r>
      <w:proofErr w:type="spellStart"/>
      <w:r>
        <w:t>Tosdal</w:t>
      </w:r>
      <w:proofErr w:type="spellEnd"/>
      <w:r>
        <w:t>. The manuscript was vastly improved by reviews from Shaun Barker and Federico Cernuschi. The ideas presented in this paper have evolved from working on many thousands of data sets from innumerable mineral deposits and exploration projects in a variety of commodities and geological settings. All the companies involved are thanked for the opportunity to learn from their data and from their staff.</w:t>
      </w:r>
    </w:p>
    <w:p w14:paraId="0B9D83F1" w14:textId="709C7238" w:rsidR="00301DDF" w:rsidRDefault="00301DDF">
      <w:pPr>
        <w:rPr>
          <w:rFonts w:asciiTheme="majorHAnsi" w:eastAsiaTheme="majorEastAsia" w:hAnsiTheme="majorHAnsi" w:cstheme="majorBidi"/>
          <w:sz w:val="32"/>
          <w:szCs w:val="32"/>
        </w:rPr>
      </w:pPr>
    </w:p>
    <w:p w14:paraId="7AD408CC" w14:textId="7D0D8B14" w:rsidR="002F3E10" w:rsidRPr="00F22106" w:rsidRDefault="002F3E10" w:rsidP="00F22106">
      <w:pPr>
        <w:pStyle w:val="Heading1"/>
        <w:rPr>
          <w:color w:val="auto"/>
        </w:rPr>
      </w:pPr>
      <w:r w:rsidRPr="00F22106">
        <w:rPr>
          <w:color w:val="auto"/>
        </w:rPr>
        <w:t>References</w:t>
      </w:r>
    </w:p>
    <w:p w14:paraId="75EAD29A" w14:textId="77777777" w:rsidR="009E22B1" w:rsidRDefault="009E22B1" w:rsidP="002F3E10">
      <w:pPr>
        <w:rPr>
          <w:rFonts w:ascii="Arial" w:hAnsi="Arial" w:cs="Arial"/>
          <w:color w:val="222222"/>
          <w:sz w:val="20"/>
          <w:szCs w:val="20"/>
        </w:rPr>
      </w:pPr>
      <w:r>
        <w:rPr>
          <w:rFonts w:ascii="Arial" w:hAnsi="Arial" w:cs="Arial"/>
          <w:color w:val="222222"/>
          <w:sz w:val="20"/>
          <w:szCs w:val="20"/>
        </w:rPr>
        <w:t xml:space="preserve">Alonso-Perez, R., </w:t>
      </w:r>
      <w:proofErr w:type="spellStart"/>
      <w:r>
        <w:rPr>
          <w:rFonts w:ascii="Arial" w:hAnsi="Arial" w:cs="Arial"/>
          <w:color w:val="222222"/>
          <w:sz w:val="20"/>
          <w:szCs w:val="20"/>
        </w:rPr>
        <w:t>Müntener</w:t>
      </w:r>
      <w:proofErr w:type="spellEnd"/>
      <w:r>
        <w:rPr>
          <w:rFonts w:ascii="Arial" w:hAnsi="Arial" w:cs="Arial"/>
          <w:color w:val="222222"/>
          <w:sz w:val="20"/>
          <w:szCs w:val="20"/>
        </w:rPr>
        <w:t xml:space="preserve">, O., &amp; Ulmer, P. (2009). Igneous garnet and amphibole fractionation in the roots of island arcs: experimental constraints on andesitic liquids. </w:t>
      </w:r>
      <w:r>
        <w:rPr>
          <w:rFonts w:ascii="Arial" w:hAnsi="Arial" w:cs="Arial"/>
          <w:i/>
          <w:iCs/>
          <w:color w:val="222222"/>
          <w:sz w:val="20"/>
          <w:szCs w:val="20"/>
          <w:bdr w:val="none" w:sz="0" w:space="0" w:color="auto" w:frame="1"/>
        </w:rPr>
        <w:t>Contributions to Mineralogy and Petrology</w:t>
      </w:r>
      <w:r>
        <w:rPr>
          <w:rFonts w:ascii="Arial" w:hAnsi="Arial" w:cs="Arial"/>
          <w:color w:val="222222"/>
          <w:sz w:val="20"/>
          <w:szCs w:val="20"/>
        </w:rPr>
        <w:t xml:space="preserve">, </w:t>
      </w:r>
      <w:r>
        <w:rPr>
          <w:rFonts w:ascii="Arial" w:hAnsi="Arial" w:cs="Arial"/>
          <w:i/>
          <w:iCs/>
          <w:color w:val="222222"/>
          <w:sz w:val="20"/>
          <w:szCs w:val="20"/>
          <w:bdr w:val="none" w:sz="0" w:space="0" w:color="auto" w:frame="1"/>
        </w:rPr>
        <w:t>157</w:t>
      </w:r>
      <w:r>
        <w:rPr>
          <w:rFonts w:ascii="Arial" w:hAnsi="Arial" w:cs="Arial"/>
          <w:color w:val="222222"/>
          <w:sz w:val="20"/>
          <w:szCs w:val="20"/>
        </w:rPr>
        <w:t>(4), 541.</w:t>
      </w:r>
    </w:p>
    <w:p w14:paraId="500877CD" w14:textId="77777777" w:rsidR="005756E2" w:rsidRDefault="00174BD7" w:rsidP="002F3E10">
      <w:pPr>
        <w:rPr>
          <w:rFonts w:ascii="Arial" w:hAnsi="Arial" w:cs="Arial"/>
          <w:color w:val="222222"/>
          <w:sz w:val="20"/>
          <w:szCs w:val="20"/>
        </w:rPr>
      </w:pPr>
      <w:proofErr w:type="spellStart"/>
      <w:r>
        <w:rPr>
          <w:rFonts w:ascii="Arial" w:hAnsi="Arial" w:cs="Arial"/>
          <w:color w:val="222222"/>
          <w:sz w:val="20"/>
          <w:szCs w:val="20"/>
        </w:rPr>
        <w:t>Breiter</w:t>
      </w:r>
      <w:proofErr w:type="spellEnd"/>
      <w:r>
        <w:rPr>
          <w:rFonts w:ascii="Arial" w:hAnsi="Arial" w:cs="Arial"/>
          <w:color w:val="222222"/>
          <w:sz w:val="20"/>
          <w:szCs w:val="20"/>
        </w:rPr>
        <w:t xml:space="preserve">, K., and </w:t>
      </w:r>
      <w:proofErr w:type="spellStart"/>
      <w:r>
        <w:rPr>
          <w:rFonts w:ascii="Arial" w:hAnsi="Arial" w:cs="Arial"/>
          <w:color w:val="222222"/>
          <w:sz w:val="20"/>
          <w:szCs w:val="20"/>
        </w:rPr>
        <w:t>Škoda</w:t>
      </w:r>
      <w:proofErr w:type="spellEnd"/>
      <w:r>
        <w:rPr>
          <w:rFonts w:ascii="Arial" w:hAnsi="Arial" w:cs="Arial"/>
          <w:color w:val="222222"/>
          <w:sz w:val="20"/>
          <w:szCs w:val="20"/>
        </w:rPr>
        <w:t xml:space="preserve">, R. (2017). Zircon and whole-rock </w:t>
      </w:r>
      <w:proofErr w:type="spellStart"/>
      <w:r>
        <w:rPr>
          <w:rFonts w:ascii="Arial" w:hAnsi="Arial" w:cs="Arial"/>
          <w:color w:val="222222"/>
          <w:sz w:val="20"/>
          <w:szCs w:val="20"/>
        </w:rPr>
        <w:t>Zr</w:t>
      </w:r>
      <w:proofErr w:type="spellEnd"/>
      <w:r>
        <w:rPr>
          <w:rFonts w:ascii="Arial" w:hAnsi="Arial" w:cs="Arial"/>
          <w:color w:val="222222"/>
          <w:sz w:val="20"/>
          <w:szCs w:val="20"/>
        </w:rPr>
        <w:t xml:space="preserve">/Hf ratios as markers of the evolution of granitic magmas: Examples from the Teplice caldera (Czech Republic/Germany). </w:t>
      </w:r>
      <w:r>
        <w:rPr>
          <w:rFonts w:ascii="Arial" w:hAnsi="Arial" w:cs="Arial"/>
          <w:i/>
          <w:iCs/>
          <w:color w:val="222222"/>
          <w:sz w:val="20"/>
          <w:szCs w:val="20"/>
          <w:bdr w:val="none" w:sz="0" w:space="0" w:color="auto" w:frame="1"/>
        </w:rPr>
        <w:t>Mineralogy and Petrology</w:t>
      </w:r>
      <w:r>
        <w:rPr>
          <w:rFonts w:ascii="Arial" w:hAnsi="Arial" w:cs="Arial"/>
          <w:color w:val="222222"/>
          <w:sz w:val="20"/>
          <w:szCs w:val="20"/>
        </w:rPr>
        <w:t xml:space="preserve">, </w:t>
      </w:r>
      <w:r>
        <w:rPr>
          <w:rFonts w:ascii="Arial" w:hAnsi="Arial" w:cs="Arial"/>
          <w:i/>
          <w:iCs/>
          <w:color w:val="222222"/>
          <w:sz w:val="20"/>
          <w:szCs w:val="20"/>
          <w:bdr w:val="none" w:sz="0" w:space="0" w:color="auto" w:frame="1"/>
        </w:rPr>
        <w:t>111</w:t>
      </w:r>
      <w:r>
        <w:rPr>
          <w:rFonts w:ascii="Arial" w:hAnsi="Arial" w:cs="Arial"/>
          <w:color w:val="222222"/>
          <w:sz w:val="20"/>
          <w:szCs w:val="20"/>
        </w:rPr>
        <w:t>(4), 435-457.</w:t>
      </w:r>
    </w:p>
    <w:p w14:paraId="76C7F79C" w14:textId="77777777" w:rsidR="005756E2" w:rsidRPr="005756E2" w:rsidRDefault="005756E2" w:rsidP="005756E2">
      <w:pPr>
        <w:rPr>
          <w:rFonts w:ascii="Arial" w:hAnsi="Arial" w:cs="Arial"/>
          <w:color w:val="222222"/>
          <w:sz w:val="20"/>
          <w:szCs w:val="20"/>
        </w:rPr>
      </w:pPr>
      <w:r w:rsidRPr="005756E2">
        <w:rPr>
          <w:rFonts w:ascii="Arial" w:hAnsi="Arial" w:cs="Arial"/>
          <w:color w:val="222222"/>
          <w:sz w:val="20"/>
          <w:szCs w:val="20"/>
        </w:rPr>
        <w:t>Burnham, C.W., 1979, The importance of volatile constituents, in Yoder, H.S. Jr., ed., The evolution of the igneous rocks: Fiftieth anniversary perspectives, Princeton University Press, Princeton, N. J., p. 439–482.</w:t>
      </w:r>
    </w:p>
    <w:p w14:paraId="5282B263" w14:textId="3AEAF60D" w:rsidR="00A24A69" w:rsidRDefault="00A24A69" w:rsidP="002F3E10">
      <w:pPr>
        <w:rPr>
          <w:rFonts w:ascii="Arial" w:hAnsi="Arial" w:cs="Arial"/>
          <w:color w:val="222222"/>
          <w:sz w:val="20"/>
          <w:szCs w:val="20"/>
        </w:rPr>
      </w:pPr>
      <w:proofErr w:type="spellStart"/>
      <w:r>
        <w:rPr>
          <w:rFonts w:ascii="Arial" w:hAnsi="Arial" w:cs="Arial"/>
          <w:color w:val="222222"/>
          <w:sz w:val="20"/>
          <w:szCs w:val="20"/>
        </w:rPr>
        <w:t>Chiaradia</w:t>
      </w:r>
      <w:proofErr w:type="spellEnd"/>
      <w:r>
        <w:rPr>
          <w:rFonts w:ascii="Arial" w:hAnsi="Arial" w:cs="Arial"/>
          <w:color w:val="222222"/>
          <w:sz w:val="20"/>
          <w:szCs w:val="20"/>
        </w:rPr>
        <w:t xml:space="preserve">, M., </w:t>
      </w:r>
      <w:proofErr w:type="spellStart"/>
      <w:r>
        <w:rPr>
          <w:rFonts w:ascii="Arial" w:hAnsi="Arial" w:cs="Arial"/>
          <w:color w:val="222222"/>
          <w:sz w:val="20"/>
          <w:szCs w:val="20"/>
        </w:rPr>
        <w:t>Ulianov</w:t>
      </w:r>
      <w:proofErr w:type="spellEnd"/>
      <w:r>
        <w:rPr>
          <w:rFonts w:ascii="Arial" w:hAnsi="Arial" w:cs="Arial"/>
          <w:color w:val="222222"/>
          <w:sz w:val="20"/>
          <w:szCs w:val="20"/>
        </w:rPr>
        <w:t xml:space="preserve">, A., </w:t>
      </w:r>
      <w:proofErr w:type="spellStart"/>
      <w:r>
        <w:rPr>
          <w:rFonts w:ascii="Arial" w:hAnsi="Arial" w:cs="Arial"/>
          <w:color w:val="222222"/>
          <w:sz w:val="20"/>
          <w:szCs w:val="20"/>
        </w:rPr>
        <w:t>Kouzmanov</w:t>
      </w:r>
      <w:proofErr w:type="spellEnd"/>
      <w:r>
        <w:rPr>
          <w:rFonts w:ascii="Arial" w:hAnsi="Arial" w:cs="Arial"/>
          <w:color w:val="222222"/>
          <w:sz w:val="20"/>
          <w:szCs w:val="20"/>
        </w:rPr>
        <w:t xml:space="preserve">, K., &amp; </w:t>
      </w:r>
      <w:proofErr w:type="spellStart"/>
      <w:r>
        <w:rPr>
          <w:rFonts w:ascii="Arial" w:hAnsi="Arial" w:cs="Arial"/>
          <w:color w:val="222222"/>
          <w:sz w:val="20"/>
          <w:szCs w:val="20"/>
        </w:rPr>
        <w:t>Beate</w:t>
      </w:r>
      <w:proofErr w:type="spellEnd"/>
      <w:r>
        <w:rPr>
          <w:rFonts w:ascii="Arial" w:hAnsi="Arial" w:cs="Arial"/>
          <w:color w:val="222222"/>
          <w:sz w:val="20"/>
          <w:szCs w:val="20"/>
        </w:rPr>
        <w:t xml:space="preserve">, B. (2012). Why large porphyry Cu deposits like high Sr/Y magmas? </w:t>
      </w:r>
      <w:r>
        <w:rPr>
          <w:rFonts w:ascii="Arial" w:hAnsi="Arial" w:cs="Arial"/>
          <w:i/>
          <w:iCs/>
          <w:color w:val="222222"/>
          <w:sz w:val="20"/>
          <w:szCs w:val="20"/>
          <w:bdr w:val="none" w:sz="0" w:space="0" w:color="auto" w:frame="1"/>
        </w:rPr>
        <w:t>Scientific Reports</w:t>
      </w:r>
      <w:r>
        <w:rPr>
          <w:rFonts w:ascii="Arial" w:hAnsi="Arial" w:cs="Arial"/>
          <w:color w:val="222222"/>
          <w:sz w:val="20"/>
          <w:szCs w:val="20"/>
        </w:rPr>
        <w:t xml:space="preserve">, </w:t>
      </w:r>
      <w:r>
        <w:rPr>
          <w:rFonts w:ascii="Arial" w:hAnsi="Arial" w:cs="Arial"/>
          <w:i/>
          <w:iCs/>
          <w:color w:val="222222"/>
          <w:sz w:val="20"/>
          <w:szCs w:val="20"/>
          <w:bdr w:val="none" w:sz="0" w:space="0" w:color="auto" w:frame="1"/>
        </w:rPr>
        <w:t>2</w:t>
      </w:r>
      <w:r>
        <w:rPr>
          <w:rFonts w:ascii="Arial" w:hAnsi="Arial" w:cs="Arial"/>
          <w:color w:val="222222"/>
          <w:sz w:val="20"/>
          <w:szCs w:val="20"/>
        </w:rPr>
        <w:t>, 685.</w:t>
      </w:r>
    </w:p>
    <w:p w14:paraId="0C5E580D" w14:textId="64E2C691" w:rsidR="00934283" w:rsidRDefault="00934283" w:rsidP="002F3E10">
      <w:pPr>
        <w:rPr>
          <w:rFonts w:ascii="Arial" w:hAnsi="Arial" w:cs="Arial"/>
          <w:color w:val="222222"/>
          <w:sz w:val="20"/>
          <w:szCs w:val="20"/>
        </w:rPr>
      </w:pPr>
      <w:r>
        <w:rPr>
          <w:rFonts w:ascii="Arial" w:hAnsi="Arial" w:cs="Arial"/>
          <w:color w:val="222222"/>
          <w:sz w:val="20"/>
          <w:szCs w:val="20"/>
        </w:rPr>
        <w:t xml:space="preserve">Claiborne, L. L., Miller, C. F., Walker, B. A., Wooden, J. L., </w:t>
      </w:r>
      <w:proofErr w:type="spellStart"/>
      <w:r>
        <w:rPr>
          <w:rFonts w:ascii="Arial" w:hAnsi="Arial" w:cs="Arial"/>
          <w:color w:val="222222"/>
          <w:sz w:val="20"/>
          <w:szCs w:val="20"/>
        </w:rPr>
        <w:t>Mazdab</w:t>
      </w:r>
      <w:proofErr w:type="spellEnd"/>
      <w:r>
        <w:rPr>
          <w:rFonts w:ascii="Arial" w:hAnsi="Arial" w:cs="Arial"/>
          <w:color w:val="222222"/>
          <w:sz w:val="20"/>
          <w:szCs w:val="20"/>
        </w:rPr>
        <w:t xml:space="preserve">, F. K., &amp; Bea, F. (2006). Tracking magmatic processes through </w:t>
      </w:r>
      <w:proofErr w:type="spellStart"/>
      <w:r>
        <w:rPr>
          <w:rFonts w:ascii="Arial" w:hAnsi="Arial" w:cs="Arial"/>
          <w:color w:val="222222"/>
          <w:sz w:val="20"/>
          <w:szCs w:val="20"/>
        </w:rPr>
        <w:t>Zr</w:t>
      </w:r>
      <w:proofErr w:type="spellEnd"/>
      <w:r>
        <w:rPr>
          <w:rFonts w:ascii="Arial" w:hAnsi="Arial" w:cs="Arial"/>
          <w:color w:val="222222"/>
          <w:sz w:val="20"/>
          <w:szCs w:val="20"/>
        </w:rPr>
        <w:t xml:space="preserve">/Hf ratios in rocks and Hf and </w:t>
      </w:r>
      <w:proofErr w:type="spellStart"/>
      <w:r>
        <w:rPr>
          <w:rFonts w:ascii="Arial" w:hAnsi="Arial" w:cs="Arial"/>
          <w:color w:val="222222"/>
          <w:sz w:val="20"/>
          <w:szCs w:val="20"/>
        </w:rPr>
        <w:t>Ti</w:t>
      </w:r>
      <w:proofErr w:type="spellEnd"/>
      <w:r>
        <w:rPr>
          <w:rFonts w:ascii="Arial" w:hAnsi="Arial" w:cs="Arial"/>
          <w:color w:val="222222"/>
          <w:sz w:val="20"/>
          <w:szCs w:val="20"/>
        </w:rPr>
        <w:t xml:space="preserve"> zoning in zircons: an example from the Spirit Mountain batholith, Nevada. </w:t>
      </w:r>
      <w:r>
        <w:rPr>
          <w:rFonts w:ascii="Arial" w:hAnsi="Arial" w:cs="Arial"/>
          <w:i/>
          <w:iCs/>
          <w:color w:val="222222"/>
          <w:sz w:val="20"/>
          <w:szCs w:val="20"/>
          <w:bdr w:val="none" w:sz="0" w:space="0" w:color="auto" w:frame="1"/>
        </w:rPr>
        <w:t>Mineralogical Magazine</w:t>
      </w:r>
      <w:r>
        <w:rPr>
          <w:rFonts w:ascii="Arial" w:hAnsi="Arial" w:cs="Arial"/>
          <w:color w:val="222222"/>
          <w:sz w:val="20"/>
          <w:szCs w:val="20"/>
        </w:rPr>
        <w:t xml:space="preserve">, </w:t>
      </w:r>
      <w:r>
        <w:rPr>
          <w:rFonts w:ascii="Arial" w:hAnsi="Arial" w:cs="Arial"/>
          <w:i/>
          <w:iCs/>
          <w:color w:val="222222"/>
          <w:sz w:val="20"/>
          <w:szCs w:val="20"/>
          <w:bdr w:val="none" w:sz="0" w:space="0" w:color="auto" w:frame="1"/>
        </w:rPr>
        <w:t>70</w:t>
      </w:r>
      <w:r>
        <w:rPr>
          <w:rFonts w:ascii="Arial" w:hAnsi="Arial" w:cs="Arial"/>
          <w:color w:val="222222"/>
          <w:sz w:val="20"/>
          <w:szCs w:val="20"/>
        </w:rPr>
        <w:t>(5), 517-543.</w:t>
      </w:r>
    </w:p>
    <w:p w14:paraId="6338C80F" w14:textId="7C3B5CA6" w:rsidR="00321920" w:rsidRDefault="00321920" w:rsidP="002F3E10">
      <w:pPr>
        <w:rPr>
          <w:rFonts w:ascii="Arial" w:hAnsi="Arial" w:cs="Arial"/>
          <w:color w:val="222222"/>
          <w:sz w:val="20"/>
          <w:szCs w:val="20"/>
        </w:rPr>
      </w:pPr>
      <w:proofErr w:type="spellStart"/>
      <w:r>
        <w:rPr>
          <w:rFonts w:ascii="Arial" w:hAnsi="Arial" w:cs="Arial"/>
          <w:color w:val="222222"/>
          <w:sz w:val="20"/>
          <w:szCs w:val="20"/>
        </w:rPr>
        <w:t>Dilles</w:t>
      </w:r>
      <w:proofErr w:type="spellEnd"/>
      <w:r>
        <w:rPr>
          <w:rFonts w:ascii="Arial" w:hAnsi="Arial" w:cs="Arial"/>
          <w:color w:val="222222"/>
          <w:sz w:val="20"/>
          <w:szCs w:val="20"/>
        </w:rPr>
        <w:t xml:space="preserve">, J. H., &amp; Einaudi, M. T. (1992). Wall-rock alteration and hydrothermal flow paths about the Ann-Mason porphyry copper deposit, Nevada; a 6-km vertical reconstruction. </w:t>
      </w:r>
      <w:r>
        <w:rPr>
          <w:rFonts w:ascii="Arial" w:hAnsi="Arial" w:cs="Arial"/>
          <w:i/>
          <w:iCs/>
          <w:color w:val="222222"/>
          <w:sz w:val="20"/>
          <w:szCs w:val="20"/>
          <w:bdr w:val="none" w:sz="0" w:space="0" w:color="auto" w:frame="1"/>
        </w:rPr>
        <w:t>Economic Geology</w:t>
      </w:r>
      <w:r>
        <w:rPr>
          <w:rFonts w:ascii="Arial" w:hAnsi="Arial" w:cs="Arial"/>
          <w:color w:val="222222"/>
          <w:sz w:val="20"/>
          <w:szCs w:val="20"/>
        </w:rPr>
        <w:t xml:space="preserve">, </w:t>
      </w:r>
      <w:r>
        <w:rPr>
          <w:rFonts w:ascii="Arial" w:hAnsi="Arial" w:cs="Arial"/>
          <w:i/>
          <w:iCs/>
          <w:color w:val="222222"/>
          <w:sz w:val="20"/>
          <w:szCs w:val="20"/>
          <w:bdr w:val="none" w:sz="0" w:space="0" w:color="auto" w:frame="1"/>
        </w:rPr>
        <w:t>87</w:t>
      </w:r>
      <w:r>
        <w:rPr>
          <w:rFonts w:ascii="Arial" w:hAnsi="Arial" w:cs="Arial"/>
          <w:color w:val="222222"/>
          <w:sz w:val="20"/>
          <w:szCs w:val="20"/>
        </w:rPr>
        <w:t>(8), 1963-2001.</w:t>
      </w:r>
    </w:p>
    <w:p w14:paraId="4A8DC8D8" w14:textId="68B952BE" w:rsidR="00321920" w:rsidRDefault="00EB5A67" w:rsidP="00EB5A67">
      <w:pPr>
        <w:rPr>
          <w:rFonts w:ascii="Arial" w:hAnsi="Arial" w:cs="Arial"/>
          <w:sz w:val="20"/>
          <w:szCs w:val="20"/>
        </w:rPr>
      </w:pPr>
      <w:proofErr w:type="spellStart"/>
      <w:r w:rsidRPr="00EB5A67">
        <w:rPr>
          <w:rFonts w:ascii="Arial" w:hAnsi="Arial" w:cs="Arial"/>
          <w:sz w:val="20"/>
          <w:szCs w:val="20"/>
        </w:rPr>
        <w:t>Dilles</w:t>
      </w:r>
      <w:proofErr w:type="spellEnd"/>
      <w:r w:rsidRPr="00EB5A67">
        <w:rPr>
          <w:rFonts w:ascii="Arial" w:hAnsi="Arial" w:cs="Arial"/>
          <w:sz w:val="20"/>
          <w:szCs w:val="20"/>
        </w:rPr>
        <w:t xml:space="preserve">, J.H., Einaudi, M.T., and Barton, M.D. 2000, Overview of the Yerington porphyry copper district: Magmatic to </w:t>
      </w:r>
      <w:proofErr w:type="spellStart"/>
      <w:r w:rsidRPr="00EB5A67">
        <w:rPr>
          <w:rFonts w:ascii="Arial" w:hAnsi="Arial" w:cs="Arial"/>
          <w:sz w:val="20"/>
          <w:szCs w:val="20"/>
        </w:rPr>
        <w:t>nonmagmatic</w:t>
      </w:r>
      <w:proofErr w:type="spellEnd"/>
      <w:r w:rsidRPr="00EB5A67">
        <w:rPr>
          <w:rFonts w:ascii="Arial" w:hAnsi="Arial" w:cs="Arial"/>
          <w:sz w:val="20"/>
          <w:szCs w:val="20"/>
        </w:rPr>
        <w:t xml:space="preserve"> sources of hydrothermal fluids, their flow paths, alteration </w:t>
      </w:r>
      <w:proofErr w:type="spellStart"/>
      <w:r w:rsidRPr="00EB5A67">
        <w:rPr>
          <w:rFonts w:ascii="Arial" w:hAnsi="Arial" w:cs="Arial"/>
          <w:sz w:val="20"/>
          <w:szCs w:val="20"/>
        </w:rPr>
        <w:t>affects</w:t>
      </w:r>
      <w:proofErr w:type="spellEnd"/>
      <w:r w:rsidRPr="00EB5A67">
        <w:rPr>
          <w:rFonts w:ascii="Arial" w:hAnsi="Arial" w:cs="Arial"/>
          <w:sz w:val="20"/>
          <w:szCs w:val="20"/>
        </w:rPr>
        <w:t xml:space="preserve"> on rocks, and Cu-</w:t>
      </w:r>
      <w:proofErr w:type="spellStart"/>
      <w:r w:rsidRPr="00EB5A67">
        <w:rPr>
          <w:rFonts w:ascii="Arial" w:hAnsi="Arial" w:cs="Arial"/>
          <w:sz w:val="20"/>
          <w:szCs w:val="20"/>
        </w:rPr>
        <w:t>MoFe</w:t>
      </w:r>
      <w:proofErr w:type="spellEnd"/>
      <w:r w:rsidRPr="00EB5A67">
        <w:rPr>
          <w:rFonts w:ascii="Arial" w:hAnsi="Arial" w:cs="Arial"/>
          <w:sz w:val="20"/>
          <w:szCs w:val="20"/>
        </w:rPr>
        <w:t>-Au ores: Society of Economic Geologists Guidebook Series, v. 32, p. 55–66.</w:t>
      </w:r>
    </w:p>
    <w:p w14:paraId="59C33E44" w14:textId="77777777" w:rsidR="00301DDF" w:rsidRDefault="00301DDF" w:rsidP="00301DDF">
      <w:pPr>
        <w:rPr>
          <w:rFonts w:ascii="Arial" w:hAnsi="Arial" w:cs="Arial"/>
          <w:color w:val="222222"/>
          <w:sz w:val="20"/>
          <w:szCs w:val="20"/>
        </w:rPr>
      </w:pPr>
      <w:proofErr w:type="spellStart"/>
      <w:r>
        <w:rPr>
          <w:rFonts w:ascii="Arial" w:hAnsi="Arial" w:cs="Arial"/>
          <w:color w:val="222222"/>
          <w:sz w:val="20"/>
          <w:szCs w:val="20"/>
        </w:rPr>
        <w:lastRenderedPageBreak/>
        <w:t>Escolme</w:t>
      </w:r>
      <w:proofErr w:type="spellEnd"/>
      <w:r>
        <w:rPr>
          <w:rFonts w:ascii="Arial" w:hAnsi="Arial" w:cs="Arial"/>
          <w:color w:val="222222"/>
          <w:sz w:val="20"/>
          <w:szCs w:val="20"/>
        </w:rPr>
        <w:t xml:space="preserve">, A., Berry, R. F., Hunt, J., Halley, S., &amp; </w:t>
      </w:r>
      <w:proofErr w:type="spellStart"/>
      <w:r>
        <w:rPr>
          <w:rFonts w:ascii="Arial" w:hAnsi="Arial" w:cs="Arial"/>
          <w:color w:val="222222"/>
          <w:sz w:val="20"/>
          <w:szCs w:val="20"/>
        </w:rPr>
        <w:t>Potma</w:t>
      </w:r>
      <w:proofErr w:type="spellEnd"/>
      <w:r>
        <w:rPr>
          <w:rFonts w:ascii="Arial" w:hAnsi="Arial" w:cs="Arial"/>
          <w:color w:val="222222"/>
          <w:sz w:val="20"/>
          <w:szCs w:val="20"/>
        </w:rPr>
        <w:t xml:space="preserve">, W. (2019). Predictive Models of Mineralogy from Whole-Rock Assay Data: Case Study from </w:t>
      </w:r>
      <w:proofErr w:type="spellStart"/>
      <w:r>
        <w:rPr>
          <w:rFonts w:ascii="Arial" w:hAnsi="Arial" w:cs="Arial"/>
          <w:color w:val="222222"/>
          <w:sz w:val="20"/>
          <w:szCs w:val="20"/>
        </w:rPr>
        <w:t>Productora</w:t>
      </w:r>
      <w:proofErr w:type="spellEnd"/>
      <w:r>
        <w:rPr>
          <w:rFonts w:ascii="Arial" w:hAnsi="Arial" w:cs="Arial"/>
          <w:color w:val="222222"/>
          <w:sz w:val="20"/>
          <w:szCs w:val="20"/>
        </w:rPr>
        <w:t xml:space="preserve"> Cu-Au-Mo Deposit, Chile. </w:t>
      </w:r>
      <w:r>
        <w:rPr>
          <w:rFonts w:ascii="Arial" w:hAnsi="Arial" w:cs="Arial"/>
          <w:i/>
          <w:iCs/>
          <w:color w:val="222222"/>
          <w:sz w:val="20"/>
          <w:szCs w:val="20"/>
          <w:bdr w:val="none" w:sz="0" w:space="0" w:color="auto" w:frame="1"/>
        </w:rPr>
        <w:t>Economic Geology</w:t>
      </w:r>
      <w:r>
        <w:rPr>
          <w:rFonts w:ascii="Arial" w:hAnsi="Arial" w:cs="Arial"/>
          <w:color w:val="222222"/>
          <w:sz w:val="20"/>
          <w:szCs w:val="20"/>
        </w:rPr>
        <w:t>.</w:t>
      </w:r>
    </w:p>
    <w:p w14:paraId="435AE4A3" w14:textId="77777777" w:rsidR="00301DDF" w:rsidRDefault="00301DDF" w:rsidP="00301DDF">
      <w:pPr>
        <w:rPr>
          <w:rFonts w:ascii="Arial" w:hAnsi="Arial" w:cs="Arial"/>
          <w:color w:val="222222"/>
          <w:sz w:val="20"/>
          <w:szCs w:val="20"/>
        </w:rPr>
      </w:pPr>
      <w:r>
        <w:rPr>
          <w:rFonts w:ascii="Arial" w:hAnsi="Arial" w:cs="Arial"/>
          <w:color w:val="222222"/>
          <w:sz w:val="20"/>
          <w:szCs w:val="20"/>
        </w:rPr>
        <w:t xml:space="preserve">Gemmell, J. B., &amp; Large, R. R. (1992). Stringer system and alteration zones underlying the Hellyer volcanogenic massive </w:t>
      </w:r>
      <w:proofErr w:type="spellStart"/>
      <w:r>
        <w:rPr>
          <w:rFonts w:ascii="Arial" w:hAnsi="Arial" w:cs="Arial"/>
          <w:color w:val="222222"/>
          <w:sz w:val="20"/>
          <w:szCs w:val="20"/>
        </w:rPr>
        <w:t>sulfide</w:t>
      </w:r>
      <w:proofErr w:type="spellEnd"/>
      <w:r>
        <w:rPr>
          <w:rFonts w:ascii="Arial" w:hAnsi="Arial" w:cs="Arial"/>
          <w:color w:val="222222"/>
          <w:sz w:val="20"/>
          <w:szCs w:val="20"/>
        </w:rPr>
        <w:t xml:space="preserve"> deposit, Tasmania, Australia. </w:t>
      </w:r>
      <w:r>
        <w:rPr>
          <w:rFonts w:ascii="Arial" w:hAnsi="Arial" w:cs="Arial"/>
          <w:i/>
          <w:iCs/>
          <w:color w:val="222222"/>
          <w:sz w:val="20"/>
          <w:szCs w:val="20"/>
          <w:bdr w:val="none" w:sz="0" w:space="0" w:color="auto" w:frame="1"/>
        </w:rPr>
        <w:t>Economic Geology</w:t>
      </w:r>
      <w:r>
        <w:rPr>
          <w:rFonts w:ascii="Arial" w:hAnsi="Arial" w:cs="Arial"/>
          <w:color w:val="222222"/>
          <w:sz w:val="20"/>
          <w:szCs w:val="20"/>
        </w:rPr>
        <w:t xml:space="preserve">, </w:t>
      </w:r>
      <w:r>
        <w:rPr>
          <w:rFonts w:ascii="Arial" w:hAnsi="Arial" w:cs="Arial"/>
          <w:i/>
          <w:iCs/>
          <w:color w:val="222222"/>
          <w:sz w:val="20"/>
          <w:szCs w:val="20"/>
          <w:bdr w:val="none" w:sz="0" w:space="0" w:color="auto" w:frame="1"/>
        </w:rPr>
        <w:t>87</w:t>
      </w:r>
      <w:r>
        <w:rPr>
          <w:rFonts w:ascii="Arial" w:hAnsi="Arial" w:cs="Arial"/>
          <w:color w:val="222222"/>
          <w:sz w:val="20"/>
          <w:szCs w:val="20"/>
        </w:rPr>
        <w:t>(3), 620-649.</w:t>
      </w:r>
    </w:p>
    <w:p w14:paraId="17F1A3FA" w14:textId="4222A35B" w:rsidR="00301DDF" w:rsidRDefault="00301DDF" w:rsidP="00301DDF">
      <w:pPr>
        <w:rPr>
          <w:rFonts w:ascii="Arial" w:hAnsi="Arial" w:cs="Arial"/>
          <w:color w:val="222222"/>
          <w:sz w:val="20"/>
          <w:szCs w:val="20"/>
        </w:rPr>
      </w:pPr>
      <w:proofErr w:type="spellStart"/>
      <w:proofErr w:type="gramStart"/>
      <w:r w:rsidRPr="00A96C2E">
        <w:rPr>
          <w:rFonts w:ascii="Arial" w:hAnsi="Arial" w:cs="Arial"/>
          <w:color w:val="222222"/>
          <w:sz w:val="20"/>
          <w:szCs w:val="20"/>
        </w:rPr>
        <w:t>Halley,S.W</w:t>
      </w:r>
      <w:proofErr w:type="spellEnd"/>
      <w:r w:rsidRPr="00A96C2E">
        <w:rPr>
          <w:rFonts w:ascii="Arial" w:hAnsi="Arial" w:cs="Arial"/>
          <w:color w:val="222222"/>
          <w:sz w:val="20"/>
          <w:szCs w:val="20"/>
        </w:rPr>
        <w:t>.</w:t>
      </w:r>
      <w:proofErr w:type="gramEnd"/>
      <w:r w:rsidRPr="00A96C2E">
        <w:rPr>
          <w:rFonts w:ascii="Arial" w:hAnsi="Arial" w:cs="Arial"/>
          <w:color w:val="222222"/>
          <w:sz w:val="20"/>
          <w:szCs w:val="20"/>
        </w:rPr>
        <w:t xml:space="preserve">, </w:t>
      </w:r>
      <w:proofErr w:type="spellStart"/>
      <w:r w:rsidRPr="00A96C2E">
        <w:rPr>
          <w:rFonts w:ascii="Arial" w:hAnsi="Arial" w:cs="Arial"/>
          <w:color w:val="222222"/>
          <w:sz w:val="20"/>
          <w:szCs w:val="20"/>
        </w:rPr>
        <w:t>Dilles</w:t>
      </w:r>
      <w:proofErr w:type="spellEnd"/>
      <w:r w:rsidRPr="00A96C2E">
        <w:rPr>
          <w:rFonts w:ascii="Arial" w:hAnsi="Arial" w:cs="Arial"/>
          <w:color w:val="222222"/>
          <w:sz w:val="20"/>
          <w:szCs w:val="20"/>
        </w:rPr>
        <w:t xml:space="preserve">, </w:t>
      </w:r>
      <w:proofErr w:type="spellStart"/>
      <w:r w:rsidRPr="00A96C2E">
        <w:rPr>
          <w:rFonts w:ascii="Arial" w:hAnsi="Arial" w:cs="Arial"/>
          <w:color w:val="222222"/>
          <w:sz w:val="20"/>
          <w:szCs w:val="20"/>
        </w:rPr>
        <w:t>J.H.andTosdal</w:t>
      </w:r>
      <w:proofErr w:type="spellEnd"/>
      <w:r w:rsidRPr="00A96C2E">
        <w:rPr>
          <w:rFonts w:ascii="Arial" w:hAnsi="Arial" w:cs="Arial"/>
          <w:color w:val="222222"/>
          <w:sz w:val="20"/>
          <w:szCs w:val="20"/>
        </w:rPr>
        <w:t>, R.M.(2015):</w:t>
      </w:r>
      <w:r>
        <w:rPr>
          <w:rFonts w:ascii="Arial" w:hAnsi="Arial" w:cs="Arial"/>
          <w:color w:val="222222"/>
          <w:sz w:val="20"/>
          <w:szCs w:val="20"/>
        </w:rPr>
        <w:t xml:space="preserve"> </w:t>
      </w:r>
      <w:r w:rsidRPr="00A96C2E">
        <w:rPr>
          <w:rFonts w:ascii="Arial" w:hAnsi="Arial" w:cs="Arial"/>
          <w:color w:val="222222"/>
          <w:sz w:val="20"/>
          <w:szCs w:val="20"/>
        </w:rPr>
        <w:t>Footprints:</w:t>
      </w:r>
      <w:r>
        <w:rPr>
          <w:rFonts w:ascii="Arial" w:hAnsi="Arial" w:cs="Arial"/>
          <w:color w:val="222222"/>
          <w:sz w:val="20"/>
          <w:szCs w:val="20"/>
        </w:rPr>
        <w:t xml:space="preserve"> </w:t>
      </w:r>
      <w:r w:rsidRPr="00A96C2E">
        <w:rPr>
          <w:rFonts w:ascii="Arial" w:hAnsi="Arial" w:cs="Arial"/>
          <w:color w:val="222222"/>
          <w:sz w:val="20"/>
          <w:szCs w:val="20"/>
        </w:rPr>
        <w:t>hydrothermal alteration and geochemical dispersion around porphyry copper deposits; SEG Newsletter, no. 100</w:t>
      </w:r>
    </w:p>
    <w:p w14:paraId="009F5AA2" w14:textId="4660B593" w:rsidR="00301DDF" w:rsidRDefault="00301DDF" w:rsidP="00301DDF">
      <w:pPr>
        <w:rPr>
          <w:rFonts w:ascii="Arial" w:hAnsi="Arial" w:cs="Arial"/>
          <w:color w:val="222222"/>
          <w:sz w:val="20"/>
          <w:szCs w:val="20"/>
        </w:rPr>
      </w:pPr>
      <w:r>
        <w:rPr>
          <w:rFonts w:ascii="Arial" w:hAnsi="Arial" w:cs="Arial"/>
          <w:color w:val="222222"/>
          <w:sz w:val="20"/>
          <w:szCs w:val="20"/>
        </w:rPr>
        <w:t xml:space="preserve">Jenner, F. E., </w:t>
      </w:r>
      <w:proofErr w:type="spellStart"/>
      <w:r>
        <w:rPr>
          <w:rFonts w:ascii="Arial" w:hAnsi="Arial" w:cs="Arial"/>
          <w:color w:val="222222"/>
          <w:sz w:val="20"/>
          <w:szCs w:val="20"/>
        </w:rPr>
        <w:t>O’neill</w:t>
      </w:r>
      <w:proofErr w:type="spellEnd"/>
      <w:r>
        <w:rPr>
          <w:rFonts w:ascii="Arial" w:hAnsi="Arial" w:cs="Arial"/>
          <w:color w:val="222222"/>
          <w:sz w:val="20"/>
          <w:szCs w:val="20"/>
        </w:rPr>
        <w:t xml:space="preserve">, H. S. C., </w:t>
      </w:r>
      <w:proofErr w:type="spellStart"/>
      <w:r>
        <w:rPr>
          <w:rFonts w:ascii="Arial" w:hAnsi="Arial" w:cs="Arial"/>
          <w:color w:val="222222"/>
          <w:sz w:val="20"/>
          <w:szCs w:val="20"/>
        </w:rPr>
        <w:t>Arculus</w:t>
      </w:r>
      <w:proofErr w:type="spellEnd"/>
      <w:r>
        <w:rPr>
          <w:rFonts w:ascii="Arial" w:hAnsi="Arial" w:cs="Arial"/>
          <w:color w:val="222222"/>
          <w:sz w:val="20"/>
          <w:szCs w:val="20"/>
        </w:rPr>
        <w:t xml:space="preserve">, R. J., &amp; </w:t>
      </w:r>
      <w:proofErr w:type="spellStart"/>
      <w:r>
        <w:rPr>
          <w:rFonts w:ascii="Arial" w:hAnsi="Arial" w:cs="Arial"/>
          <w:color w:val="222222"/>
          <w:sz w:val="20"/>
          <w:szCs w:val="20"/>
        </w:rPr>
        <w:t>Mavrogenes</w:t>
      </w:r>
      <w:proofErr w:type="spellEnd"/>
      <w:r>
        <w:rPr>
          <w:rFonts w:ascii="Arial" w:hAnsi="Arial" w:cs="Arial"/>
          <w:color w:val="222222"/>
          <w:sz w:val="20"/>
          <w:szCs w:val="20"/>
        </w:rPr>
        <w:t xml:space="preserve">, J. A. (2010). The magnetite crisis in the evolution of arc-related magmas and the initial concentration of Au, Ag and Cu. </w:t>
      </w:r>
      <w:r>
        <w:rPr>
          <w:rFonts w:ascii="Arial" w:hAnsi="Arial" w:cs="Arial"/>
          <w:i/>
          <w:iCs/>
          <w:color w:val="222222"/>
          <w:sz w:val="20"/>
          <w:szCs w:val="20"/>
          <w:bdr w:val="none" w:sz="0" w:space="0" w:color="auto" w:frame="1"/>
        </w:rPr>
        <w:t>Journal of Petrology</w:t>
      </w:r>
      <w:r>
        <w:rPr>
          <w:rFonts w:ascii="Arial" w:hAnsi="Arial" w:cs="Arial"/>
          <w:color w:val="222222"/>
          <w:sz w:val="20"/>
          <w:szCs w:val="20"/>
        </w:rPr>
        <w:t xml:space="preserve">, </w:t>
      </w:r>
      <w:r>
        <w:rPr>
          <w:rFonts w:ascii="Arial" w:hAnsi="Arial" w:cs="Arial"/>
          <w:i/>
          <w:iCs/>
          <w:color w:val="222222"/>
          <w:sz w:val="20"/>
          <w:szCs w:val="20"/>
          <w:bdr w:val="none" w:sz="0" w:space="0" w:color="auto" w:frame="1"/>
        </w:rPr>
        <w:t>51</w:t>
      </w:r>
      <w:r>
        <w:rPr>
          <w:rFonts w:ascii="Arial" w:hAnsi="Arial" w:cs="Arial"/>
          <w:color w:val="222222"/>
          <w:sz w:val="20"/>
          <w:szCs w:val="20"/>
        </w:rPr>
        <w:t>(12), 2445-2464.</w:t>
      </w:r>
    </w:p>
    <w:p w14:paraId="0722B341" w14:textId="68197782" w:rsidR="00CF1BCD" w:rsidRDefault="00CF1BCD" w:rsidP="00301DDF">
      <w:pPr>
        <w:rPr>
          <w:rFonts w:ascii="Arial" w:hAnsi="Arial" w:cs="Arial"/>
          <w:color w:val="222222"/>
          <w:sz w:val="20"/>
          <w:szCs w:val="20"/>
        </w:rPr>
      </w:pPr>
      <w:r>
        <w:rPr>
          <w:rFonts w:ascii="Arial" w:hAnsi="Arial" w:cs="Arial"/>
          <w:color w:val="222222"/>
          <w:sz w:val="20"/>
          <w:szCs w:val="20"/>
        </w:rPr>
        <w:t xml:space="preserve">Li, Z. X. A., and Lee, C. T. A. (2004). The constancy of upper mantle fO2 through time inferred from V/Sc ratios in basalts. </w:t>
      </w:r>
      <w:r>
        <w:rPr>
          <w:rFonts w:ascii="Arial" w:hAnsi="Arial" w:cs="Arial"/>
          <w:i/>
          <w:iCs/>
          <w:color w:val="222222"/>
          <w:sz w:val="20"/>
          <w:szCs w:val="20"/>
          <w:bdr w:val="none" w:sz="0" w:space="0" w:color="auto" w:frame="1"/>
        </w:rPr>
        <w:t>Earth and Planetary Science Letters</w:t>
      </w:r>
      <w:r>
        <w:rPr>
          <w:rFonts w:ascii="Arial" w:hAnsi="Arial" w:cs="Arial"/>
          <w:color w:val="222222"/>
          <w:sz w:val="20"/>
          <w:szCs w:val="20"/>
        </w:rPr>
        <w:t xml:space="preserve">, </w:t>
      </w:r>
      <w:r>
        <w:rPr>
          <w:rFonts w:ascii="Arial" w:hAnsi="Arial" w:cs="Arial"/>
          <w:i/>
          <w:iCs/>
          <w:color w:val="222222"/>
          <w:sz w:val="20"/>
          <w:szCs w:val="20"/>
          <w:bdr w:val="none" w:sz="0" w:space="0" w:color="auto" w:frame="1"/>
        </w:rPr>
        <w:t>228</w:t>
      </w:r>
      <w:r>
        <w:rPr>
          <w:rFonts w:ascii="Arial" w:hAnsi="Arial" w:cs="Arial"/>
          <w:color w:val="222222"/>
          <w:sz w:val="20"/>
          <w:szCs w:val="20"/>
        </w:rPr>
        <w:t>(3-4), 483-493.</w:t>
      </w:r>
    </w:p>
    <w:p w14:paraId="4057F2DB" w14:textId="38620594" w:rsidR="00301DDF" w:rsidRDefault="00301DDF" w:rsidP="00301DDF">
      <w:pPr>
        <w:rPr>
          <w:rFonts w:ascii="Arial" w:hAnsi="Arial" w:cs="Arial"/>
          <w:color w:val="222222"/>
          <w:sz w:val="20"/>
          <w:szCs w:val="20"/>
        </w:rPr>
      </w:pPr>
      <w:r>
        <w:rPr>
          <w:rFonts w:ascii="Arial" w:hAnsi="Arial" w:cs="Arial"/>
          <w:color w:val="222222"/>
          <w:sz w:val="20"/>
          <w:szCs w:val="20"/>
        </w:rPr>
        <w:t xml:space="preserve">Loucks, R. R. (2014). Distinctive composition of copper-ore-forming </w:t>
      </w:r>
      <w:proofErr w:type="spellStart"/>
      <w:r>
        <w:rPr>
          <w:rFonts w:ascii="Arial" w:hAnsi="Arial" w:cs="Arial"/>
          <w:color w:val="222222"/>
          <w:sz w:val="20"/>
          <w:szCs w:val="20"/>
        </w:rPr>
        <w:t>arcmagmas</w:t>
      </w:r>
      <w:proofErr w:type="spellEnd"/>
      <w:r>
        <w:rPr>
          <w:rFonts w:ascii="Arial" w:hAnsi="Arial" w:cs="Arial"/>
          <w:color w:val="222222"/>
          <w:sz w:val="20"/>
          <w:szCs w:val="20"/>
        </w:rPr>
        <w:t xml:space="preserve">. </w:t>
      </w:r>
      <w:r>
        <w:rPr>
          <w:rFonts w:ascii="Arial" w:hAnsi="Arial" w:cs="Arial"/>
          <w:i/>
          <w:iCs/>
          <w:color w:val="222222"/>
          <w:sz w:val="20"/>
          <w:szCs w:val="20"/>
          <w:bdr w:val="none" w:sz="0" w:space="0" w:color="auto" w:frame="1"/>
        </w:rPr>
        <w:t>Australian Journal of Earth Sciences</w:t>
      </w:r>
      <w:r>
        <w:rPr>
          <w:rFonts w:ascii="Arial" w:hAnsi="Arial" w:cs="Arial"/>
          <w:color w:val="222222"/>
          <w:sz w:val="20"/>
          <w:szCs w:val="20"/>
        </w:rPr>
        <w:t xml:space="preserve">, </w:t>
      </w:r>
      <w:r>
        <w:rPr>
          <w:rFonts w:ascii="Arial" w:hAnsi="Arial" w:cs="Arial"/>
          <w:i/>
          <w:iCs/>
          <w:color w:val="222222"/>
          <w:sz w:val="20"/>
          <w:szCs w:val="20"/>
          <w:bdr w:val="none" w:sz="0" w:space="0" w:color="auto" w:frame="1"/>
        </w:rPr>
        <w:t>61</w:t>
      </w:r>
      <w:r>
        <w:rPr>
          <w:rFonts w:ascii="Arial" w:hAnsi="Arial" w:cs="Arial"/>
          <w:color w:val="222222"/>
          <w:sz w:val="20"/>
          <w:szCs w:val="20"/>
        </w:rPr>
        <w:t>(1), 5-16.</w:t>
      </w:r>
    </w:p>
    <w:p w14:paraId="237CDB14" w14:textId="7D35E47A" w:rsidR="005D52A5" w:rsidRDefault="005D52A5" w:rsidP="00301DDF">
      <w:pPr>
        <w:rPr>
          <w:rFonts w:ascii="Arial" w:hAnsi="Arial" w:cs="Arial"/>
          <w:color w:val="222222"/>
          <w:sz w:val="20"/>
          <w:szCs w:val="20"/>
        </w:rPr>
      </w:pPr>
      <w:proofErr w:type="spellStart"/>
      <w:r>
        <w:rPr>
          <w:rFonts w:ascii="Arial" w:hAnsi="Arial" w:cs="Arial"/>
          <w:color w:val="222222"/>
          <w:sz w:val="20"/>
          <w:szCs w:val="20"/>
        </w:rPr>
        <w:t>Magaldi</w:t>
      </w:r>
      <w:proofErr w:type="spellEnd"/>
      <w:r>
        <w:rPr>
          <w:rFonts w:ascii="Arial" w:hAnsi="Arial" w:cs="Arial"/>
          <w:color w:val="222222"/>
          <w:sz w:val="20"/>
          <w:szCs w:val="20"/>
        </w:rPr>
        <w:t xml:space="preserve">, T. T., Navarro, M. S., &amp; </w:t>
      </w:r>
      <w:proofErr w:type="spellStart"/>
      <w:r>
        <w:rPr>
          <w:rFonts w:ascii="Arial" w:hAnsi="Arial" w:cs="Arial"/>
          <w:color w:val="222222"/>
          <w:sz w:val="20"/>
          <w:szCs w:val="20"/>
        </w:rPr>
        <w:t>Enzweiler</w:t>
      </w:r>
      <w:proofErr w:type="spellEnd"/>
      <w:r>
        <w:rPr>
          <w:rFonts w:ascii="Arial" w:hAnsi="Arial" w:cs="Arial"/>
          <w:color w:val="222222"/>
          <w:sz w:val="20"/>
          <w:szCs w:val="20"/>
        </w:rPr>
        <w:t xml:space="preserve">, J. (2019). Assessment of Dissolution of Silicate Rock Reference Materials with Ammonium </w:t>
      </w:r>
      <w:proofErr w:type="spellStart"/>
      <w:r>
        <w:rPr>
          <w:rFonts w:ascii="Arial" w:hAnsi="Arial" w:cs="Arial"/>
          <w:color w:val="222222"/>
          <w:sz w:val="20"/>
          <w:szCs w:val="20"/>
        </w:rPr>
        <w:t>Bifluoride</w:t>
      </w:r>
      <w:proofErr w:type="spellEnd"/>
      <w:r>
        <w:rPr>
          <w:rFonts w:ascii="Arial" w:hAnsi="Arial" w:cs="Arial"/>
          <w:color w:val="222222"/>
          <w:sz w:val="20"/>
          <w:szCs w:val="20"/>
        </w:rPr>
        <w:t xml:space="preserve"> and Nitric Acid in a Microwave Oven. </w:t>
      </w:r>
      <w:proofErr w:type="spellStart"/>
      <w:r>
        <w:rPr>
          <w:rFonts w:ascii="Arial" w:hAnsi="Arial" w:cs="Arial"/>
          <w:i/>
          <w:iCs/>
          <w:color w:val="222222"/>
          <w:sz w:val="20"/>
          <w:szCs w:val="20"/>
          <w:bdr w:val="none" w:sz="0" w:space="0" w:color="auto" w:frame="1"/>
        </w:rPr>
        <w:t>Geostandards</w:t>
      </w:r>
      <w:proofErr w:type="spellEnd"/>
      <w:r>
        <w:rPr>
          <w:rFonts w:ascii="Arial" w:hAnsi="Arial" w:cs="Arial"/>
          <w:i/>
          <w:iCs/>
          <w:color w:val="222222"/>
          <w:sz w:val="20"/>
          <w:szCs w:val="20"/>
          <w:bdr w:val="none" w:sz="0" w:space="0" w:color="auto" w:frame="1"/>
        </w:rPr>
        <w:t xml:space="preserve"> and </w:t>
      </w:r>
      <w:proofErr w:type="spellStart"/>
      <w:r>
        <w:rPr>
          <w:rFonts w:ascii="Arial" w:hAnsi="Arial" w:cs="Arial"/>
          <w:i/>
          <w:iCs/>
          <w:color w:val="222222"/>
          <w:sz w:val="20"/>
          <w:szCs w:val="20"/>
          <w:bdr w:val="none" w:sz="0" w:space="0" w:color="auto" w:frame="1"/>
        </w:rPr>
        <w:t>Geoanalytical</w:t>
      </w:r>
      <w:proofErr w:type="spellEnd"/>
      <w:r>
        <w:rPr>
          <w:rFonts w:ascii="Arial" w:hAnsi="Arial" w:cs="Arial"/>
          <w:i/>
          <w:iCs/>
          <w:color w:val="222222"/>
          <w:sz w:val="20"/>
          <w:szCs w:val="20"/>
          <w:bdr w:val="none" w:sz="0" w:space="0" w:color="auto" w:frame="1"/>
        </w:rPr>
        <w:t xml:space="preserve"> Research</w:t>
      </w:r>
      <w:r>
        <w:rPr>
          <w:rFonts w:ascii="Arial" w:hAnsi="Arial" w:cs="Arial"/>
          <w:color w:val="222222"/>
          <w:sz w:val="20"/>
          <w:szCs w:val="20"/>
        </w:rPr>
        <w:t xml:space="preserve">, </w:t>
      </w:r>
      <w:r>
        <w:rPr>
          <w:rFonts w:ascii="Arial" w:hAnsi="Arial" w:cs="Arial"/>
          <w:i/>
          <w:iCs/>
          <w:color w:val="222222"/>
          <w:sz w:val="20"/>
          <w:szCs w:val="20"/>
          <w:bdr w:val="none" w:sz="0" w:space="0" w:color="auto" w:frame="1"/>
        </w:rPr>
        <w:t>43</w:t>
      </w:r>
      <w:r>
        <w:rPr>
          <w:rFonts w:ascii="Arial" w:hAnsi="Arial" w:cs="Arial"/>
          <w:color w:val="222222"/>
          <w:sz w:val="20"/>
          <w:szCs w:val="20"/>
        </w:rPr>
        <w:t>(1), 189-208.</w:t>
      </w:r>
    </w:p>
    <w:p w14:paraId="7B6646DB" w14:textId="77777777" w:rsidR="00301DDF" w:rsidRDefault="00301DDF" w:rsidP="00301DDF">
      <w:r>
        <w:rPr>
          <w:rFonts w:ascii="Arial" w:hAnsi="Arial" w:cs="Arial"/>
          <w:color w:val="222222"/>
          <w:sz w:val="20"/>
          <w:szCs w:val="20"/>
        </w:rPr>
        <w:t xml:space="preserve">Mair, J. L., Farmer, G. L., Groves, D. I., Hart, C. J., &amp; Goldfarb, R. J. (2011). Petrogenesis of </w:t>
      </w:r>
      <w:proofErr w:type="spellStart"/>
      <w:r>
        <w:rPr>
          <w:rFonts w:ascii="Arial" w:hAnsi="Arial" w:cs="Arial"/>
          <w:color w:val="222222"/>
          <w:sz w:val="20"/>
          <w:szCs w:val="20"/>
        </w:rPr>
        <w:t>postcollisional</w:t>
      </w:r>
      <w:proofErr w:type="spellEnd"/>
      <w:r>
        <w:rPr>
          <w:rFonts w:ascii="Arial" w:hAnsi="Arial" w:cs="Arial"/>
          <w:color w:val="222222"/>
          <w:sz w:val="20"/>
          <w:szCs w:val="20"/>
        </w:rPr>
        <w:t xml:space="preserve"> magmatism at Scheelite Dome, Yukon, Canada: evidence for a lithospheric mantle source for magmas associated with intrusion-related gold systems. </w:t>
      </w:r>
      <w:r>
        <w:rPr>
          <w:rFonts w:ascii="Arial" w:hAnsi="Arial" w:cs="Arial"/>
          <w:i/>
          <w:iCs/>
          <w:color w:val="222222"/>
          <w:sz w:val="20"/>
          <w:szCs w:val="20"/>
          <w:bdr w:val="none" w:sz="0" w:space="0" w:color="auto" w:frame="1"/>
        </w:rPr>
        <w:t>Economic Geology</w:t>
      </w:r>
      <w:r>
        <w:rPr>
          <w:rFonts w:ascii="Arial" w:hAnsi="Arial" w:cs="Arial"/>
          <w:color w:val="222222"/>
          <w:sz w:val="20"/>
          <w:szCs w:val="20"/>
        </w:rPr>
        <w:t xml:space="preserve">, </w:t>
      </w:r>
      <w:r>
        <w:rPr>
          <w:rFonts w:ascii="Arial" w:hAnsi="Arial" w:cs="Arial"/>
          <w:i/>
          <w:iCs/>
          <w:color w:val="222222"/>
          <w:sz w:val="20"/>
          <w:szCs w:val="20"/>
          <w:bdr w:val="none" w:sz="0" w:space="0" w:color="auto" w:frame="1"/>
        </w:rPr>
        <w:t>106</w:t>
      </w:r>
      <w:r>
        <w:rPr>
          <w:rFonts w:ascii="Arial" w:hAnsi="Arial" w:cs="Arial"/>
          <w:color w:val="222222"/>
          <w:sz w:val="20"/>
          <w:szCs w:val="20"/>
        </w:rPr>
        <w:t>(3), 451-480.</w:t>
      </w:r>
    </w:p>
    <w:p w14:paraId="6D7146D5" w14:textId="4EEA242E" w:rsidR="00AD512E" w:rsidRDefault="00301DDF" w:rsidP="00301DDF">
      <w:pPr>
        <w:rPr>
          <w:rFonts w:ascii="Arial" w:hAnsi="Arial" w:cs="Arial"/>
          <w:color w:val="222222"/>
          <w:sz w:val="20"/>
          <w:szCs w:val="20"/>
        </w:rPr>
      </w:pPr>
      <w:r>
        <w:rPr>
          <w:rFonts w:ascii="Arial" w:hAnsi="Arial" w:cs="Arial"/>
          <w:color w:val="222222"/>
          <w:sz w:val="20"/>
          <w:szCs w:val="20"/>
        </w:rPr>
        <w:t xml:space="preserve">Richards, J. P., Spell, T., </w:t>
      </w:r>
      <w:proofErr w:type="spellStart"/>
      <w:r>
        <w:rPr>
          <w:rFonts w:ascii="Arial" w:hAnsi="Arial" w:cs="Arial"/>
          <w:color w:val="222222"/>
          <w:sz w:val="20"/>
          <w:szCs w:val="20"/>
        </w:rPr>
        <w:t>Rameh</w:t>
      </w:r>
      <w:proofErr w:type="spellEnd"/>
      <w:r>
        <w:rPr>
          <w:rFonts w:ascii="Arial" w:hAnsi="Arial" w:cs="Arial"/>
          <w:color w:val="222222"/>
          <w:sz w:val="20"/>
          <w:szCs w:val="20"/>
        </w:rPr>
        <w:t xml:space="preserve">, E., </w:t>
      </w:r>
      <w:proofErr w:type="spellStart"/>
      <w:r>
        <w:rPr>
          <w:rFonts w:ascii="Arial" w:hAnsi="Arial" w:cs="Arial"/>
          <w:color w:val="222222"/>
          <w:sz w:val="20"/>
          <w:szCs w:val="20"/>
        </w:rPr>
        <w:t>Razique</w:t>
      </w:r>
      <w:proofErr w:type="spellEnd"/>
      <w:r>
        <w:rPr>
          <w:rFonts w:ascii="Arial" w:hAnsi="Arial" w:cs="Arial"/>
          <w:color w:val="222222"/>
          <w:sz w:val="20"/>
          <w:szCs w:val="20"/>
        </w:rPr>
        <w:t xml:space="preserve">, A., &amp; Fletcher, T. (2012). High Sr/Y magmas reflect arc maturity, high magmatic water content, and porphyry </w:t>
      </w:r>
      <w:proofErr w:type="spellStart"/>
      <w:r>
        <w:rPr>
          <w:rFonts w:ascii="Arial" w:hAnsi="Arial" w:cs="Arial"/>
          <w:color w:val="222222"/>
          <w:sz w:val="20"/>
          <w:szCs w:val="20"/>
        </w:rPr>
        <w:t>Cu±Mo±Au</w:t>
      </w:r>
      <w:proofErr w:type="spellEnd"/>
      <w:r>
        <w:rPr>
          <w:rFonts w:ascii="Arial" w:hAnsi="Arial" w:cs="Arial"/>
          <w:color w:val="222222"/>
          <w:sz w:val="20"/>
          <w:szCs w:val="20"/>
        </w:rPr>
        <w:t xml:space="preserve"> potential: Examples from the Tethyan arcs of central and eastern Iran and western Pakistan. </w:t>
      </w:r>
      <w:r>
        <w:rPr>
          <w:rFonts w:ascii="Arial" w:hAnsi="Arial" w:cs="Arial"/>
          <w:i/>
          <w:iCs/>
          <w:color w:val="222222"/>
          <w:sz w:val="20"/>
          <w:szCs w:val="20"/>
          <w:bdr w:val="none" w:sz="0" w:space="0" w:color="auto" w:frame="1"/>
        </w:rPr>
        <w:t>Economic Geology</w:t>
      </w:r>
      <w:r>
        <w:rPr>
          <w:rFonts w:ascii="Arial" w:hAnsi="Arial" w:cs="Arial"/>
          <w:color w:val="222222"/>
          <w:sz w:val="20"/>
          <w:szCs w:val="20"/>
        </w:rPr>
        <w:t xml:space="preserve">, </w:t>
      </w:r>
      <w:r>
        <w:rPr>
          <w:rFonts w:ascii="Arial" w:hAnsi="Arial" w:cs="Arial"/>
          <w:i/>
          <w:iCs/>
          <w:color w:val="222222"/>
          <w:sz w:val="20"/>
          <w:szCs w:val="20"/>
          <w:bdr w:val="none" w:sz="0" w:space="0" w:color="auto" w:frame="1"/>
        </w:rPr>
        <w:t>107</w:t>
      </w:r>
      <w:r>
        <w:rPr>
          <w:rFonts w:ascii="Arial" w:hAnsi="Arial" w:cs="Arial"/>
          <w:color w:val="222222"/>
          <w:sz w:val="20"/>
          <w:szCs w:val="20"/>
        </w:rPr>
        <w:t>(2), 295-332.</w:t>
      </w:r>
    </w:p>
    <w:p w14:paraId="077AE2AA" w14:textId="3A8295BD" w:rsidR="009E22B1" w:rsidRDefault="009E22B1" w:rsidP="00301DDF">
      <w:pPr>
        <w:rPr>
          <w:rFonts w:ascii="Arial" w:hAnsi="Arial" w:cs="Arial"/>
          <w:color w:val="222222"/>
          <w:sz w:val="20"/>
          <w:szCs w:val="20"/>
        </w:rPr>
      </w:pPr>
      <w:proofErr w:type="spellStart"/>
      <w:r>
        <w:rPr>
          <w:rFonts w:ascii="Arial" w:hAnsi="Arial" w:cs="Arial"/>
          <w:color w:val="222222"/>
          <w:sz w:val="20"/>
          <w:szCs w:val="20"/>
        </w:rPr>
        <w:t>Shervais</w:t>
      </w:r>
      <w:proofErr w:type="spellEnd"/>
      <w:r>
        <w:rPr>
          <w:rFonts w:ascii="Arial" w:hAnsi="Arial" w:cs="Arial"/>
          <w:color w:val="222222"/>
          <w:sz w:val="20"/>
          <w:szCs w:val="20"/>
        </w:rPr>
        <w:t xml:space="preserve">, J. W. (1982). </w:t>
      </w:r>
      <w:proofErr w:type="spellStart"/>
      <w:r>
        <w:rPr>
          <w:rFonts w:ascii="Arial" w:hAnsi="Arial" w:cs="Arial"/>
          <w:color w:val="222222"/>
          <w:sz w:val="20"/>
          <w:szCs w:val="20"/>
        </w:rPr>
        <w:t>Ti</w:t>
      </w:r>
      <w:proofErr w:type="spellEnd"/>
      <w:r>
        <w:rPr>
          <w:rFonts w:ascii="Arial" w:hAnsi="Arial" w:cs="Arial"/>
          <w:color w:val="222222"/>
          <w:sz w:val="20"/>
          <w:szCs w:val="20"/>
        </w:rPr>
        <w:t xml:space="preserve">-V plots and the petrogenesis of modern and ophiolitic lavas. </w:t>
      </w:r>
      <w:r>
        <w:rPr>
          <w:rFonts w:ascii="Arial" w:hAnsi="Arial" w:cs="Arial"/>
          <w:i/>
          <w:iCs/>
          <w:color w:val="222222"/>
          <w:sz w:val="20"/>
          <w:szCs w:val="20"/>
          <w:bdr w:val="none" w:sz="0" w:space="0" w:color="auto" w:frame="1"/>
        </w:rPr>
        <w:t>Earth and planetary science letters</w:t>
      </w:r>
      <w:r>
        <w:rPr>
          <w:rFonts w:ascii="Arial" w:hAnsi="Arial" w:cs="Arial"/>
          <w:color w:val="222222"/>
          <w:sz w:val="20"/>
          <w:szCs w:val="20"/>
        </w:rPr>
        <w:t xml:space="preserve">, </w:t>
      </w:r>
      <w:r>
        <w:rPr>
          <w:rFonts w:ascii="Arial" w:hAnsi="Arial" w:cs="Arial"/>
          <w:i/>
          <w:iCs/>
          <w:color w:val="222222"/>
          <w:sz w:val="20"/>
          <w:szCs w:val="20"/>
          <w:bdr w:val="none" w:sz="0" w:space="0" w:color="auto" w:frame="1"/>
        </w:rPr>
        <w:t>59</w:t>
      </w:r>
      <w:r>
        <w:rPr>
          <w:rFonts w:ascii="Arial" w:hAnsi="Arial" w:cs="Arial"/>
          <w:color w:val="222222"/>
          <w:sz w:val="20"/>
          <w:szCs w:val="20"/>
        </w:rPr>
        <w:t>(1), 101-118.</w:t>
      </w:r>
    </w:p>
    <w:p w14:paraId="38339A44" w14:textId="7F2FFA6D" w:rsidR="00301DDF" w:rsidRDefault="00301DDF" w:rsidP="00301DDF">
      <w:pPr>
        <w:rPr>
          <w:rFonts w:ascii="Arial" w:eastAsiaTheme="majorEastAsia" w:hAnsi="Arial" w:cs="Arial"/>
          <w:color w:val="222222"/>
          <w:sz w:val="20"/>
          <w:szCs w:val="20"/>
          <w:bdr w:val="none" w:sz="0" w:space="0" w:color="auto" w:frame="1"/>
        </w:rPr>
      </w:pPr>
      <w:r w:rsidRPr="00E7674D">
        <w:rPr>
          <w:rFonts w:ascii="Arial" w:eastAsiaTheme="majorEastAsia" w:hAnsi="Arial" w:cs="Arial"/>
          <w:color w:val="222222"/>
          <w:sz w:val="20"/>
          <w:szCs w:val="20"/>
          <w:bdr w:val="none" w:sz="0" w:space="0" w:color="auto" w:frame="1"/>
        </w:rPr>
        <w:t xml:space="preserve">Stanley, C. R., and </w:t>
      </w:r>
      <w:proofErr w:type="spellStart"/>
      <w:r w:rsidRPr="00E7674D">
        <w:rPr>
          <w:rFonts w:ascii="Arial" w:eastAsiaTheme="majorEastAsia" w:hAnsi="Arial" w:cs="Arial"/>
          <w:color w:val="222222"/>
          <w:sz w:val="20"/>
          <w:szCs w:val="20"/>
          <w:bdr w:val="none" w:sz="0" w:space="0" w:color="auto" w:frame="1"/>
        </w:rPr>
        <w:t>Madeisky</w:t>
      </w:r>
      <w:proofErr w:type="spellEnd"/>
      <w:r w:rsidRPr="00E7674D">
        <w:rPr>
          <w:rFonts w:ascii="Arial" w:eastAsiaTheme="majorEastAsia" w:hAnsi="Arial" w:cs="Arial"/>
          <w:color w:val="222222"/>
          <w:sz w:val="20"/>
          <w:szCs w:val="20"/>
          <w:bdr w:val="none" w:sz="0" w:space="0" w:color="auto" w:frame="1"/>
        </w:rPr>
        <w:t xml:space="preserve">, H. E., 1996. </w:t>
      </w:r>
      <w:proofErr w:type="spellStart"/>
      <w:r w:rsidRPr="00E7674D">
        <w:rPr>
          <w:rFonts w:ascii="Arial" w:eastAsiaTheme="majorEastAsia" w:hAnsi="Arial" w:cs="Arial"/>
          <w:color w:val="222222"/>
          <w:sz w:val="20"/>
          <w:szCs w:val="20"/>
          <w:bdr w:val="none" w:sz="0" w:space="0" w:color="auto" w:frame="1"/>
        </w:rPr>
        <w:t>Lithogeochemical</w:t>
      </w:r>
      <w:proofErr w:type="spellEnd"/>
      <w:r w:rsidRPr="00E7674D">
        <w:rPr>
          <w:rFonts w:ascii="Arial" w:eastAsiaTheme="majorEastAsia" w:hAnsi="Arial" w:cs="Arial"/>
          <w:color w:val="222222"/>
          <w:sz w:val="20"/>
          <w:szCs w:val="20"/>
          <w:bdr w:val="none" w:sz="0" w:space="0" w:color="auto" w:frame="1"/>
        </w:rPr>
        <w:t xml:space="preserve"> exploration for metasomatic zones associated with hydrothermal mineral deposits using Pearce Element Ratio Analysis. Short course notes on Pearce Element Ration Analysis, Mineral Deposit Research Unit. pp. 99.</w:t>
      </w:r>
    </w:p>
    <w:p w14:paraId="6EA718E3" w14:textId="089C154A" w:rsidR="000430A9" w:rsidRDefault="000430A9" w:rsidP="00301DDF">
      <w:pPr>
        <w:rPr>
          <w:rFonts w:ascii="Arial" w:hAnsi="Arial" w:cs="Arial"/>
          <w:color w:val="222222"/>
          <w:sz w:val="20"/>
          <w:szCs w:val="20"/>
        </w:rPr>
      </w:pPr>
      <w:proofErr w:type="spellStart"/>
      <w:r>
        <w:rPr>
          <w:rFonts w:ascii="Arial" w:hAnsi="Arial" w:cs="Arial"/>
          <w:color w:val="222222"/>
          <w:sz w:val="20"/>
          <w:szCs w:val="20"/>
        </w:rPr>
        <w:t>Stepanov</w:t>
      </w:r>
      <w:proofErr w:type="spellEnd"/>
      <w:r>
        <w:rPr>
          <w:rFonts w:ascii="Arial" w:hAnsi="Arial" w:cs="Arial"/>
          <w:color w:val="222222"/>
          <w:sz w:val="20"/>
          <w:szCs w:val="20"/>
        </w:rPr>
        <w:t xml:space="preserve">, A. S., &amp; Hermann, J. (2013). Fractionation of </w:t>
      </w:r>
      <w:proofErr w:type="spellStart"/>
      <w:r>
        <w:rPr>
          <w:rFonts w:ascii="Arial" w:hAnsi="Arial" w:cs="Arial"/>
          <w:color w:val="222222"/>
          <w:sz w:val="20"/>
          <w:szCs w:val="20"/>
        </w:rPr>
        <w:t>Nb</w:t>
      </w:r>
      <w:proofErr w:type="spellEnd"/>
      <w:r>
        <w:rPr>
          <w:rFonts w:ascii="Arial" w:hAnsi="Arial" w:cs="Arial"/>
          <w:color w:val="222222"/>
          <w:sz w:val="20"/>
          <w:szCs w:val="20"/>
        </w:rPr>
        <w:t xml:space="preserve"> and Ta by biotite and phengite: Implications for the “missing </w:t>
      </w:r>
      <w:proofErr w:type="spellStart"/>
      <w:r>
        <w:rPr>
          <w:rFonts w:ascii="Arial" w:hAnsi="Arial" w:cs="Arial"/>
          <w:color w:val="222222"/>
          <w:sz w:val="20"/>
          <w:szCs w:val="20"/>
        </w:rPr>
        <w:t>Nb</w:t>
      </w:r>
      <w:proofErr w:type="spellEnd"/>
      <w:r>
        <w:rPr>
          <w:rFonts w:ascii="Arial" w:hAnsi="Arial" w:cs="Arial"/>
          <w:color w:val="222222"/>
          <w:sz w:val="20"/>
          <w:szCs w:val="20"/>
        </w:rPr>
        <w:t xml:space="preserve"> paradox”. </w:t>
      </w:r>
      <w:r>
        <w:rPr>
          <w:rFonts w:ascii="Arial" w:hAnsi="Arial" w:cs="Arial"/>
          <w:i/>
          <w:iCs/>
          <w:color w:val="222222"/>
          <w:sz w:val="20"/>
          <w:szCs w:val="20"/>
          <w:bdr w:val="none" w:sz="0" w:space="0" w:color="auto" w:frame="1"/>
        </w:rPr>
        <w:t>Geology</w:t>
      </w:r>
      <w:r>
        <w:rPr>
          <w:rFonts w:ascii="Arial" w:hAnsi="Arial" w:cs="Arial"/>
          <w:color w:val="222222"/>
          <w:sz w:val="20"/>
          <w:szCs w:val="20"/>
        </w:rPr>
        <w:t xml:space="preserve">, </w:t>
      </w:r>
      <w:r>
        <w:rPr>
          <w:rFonts w:ascii="Arial" w:hAnsi="Arial" w:cs="Arial"/>
          <w:i/>
          <w:iCs/>
          <w:color w:val="222222"/>
          <w:sz w:val="20"/>
          <w:szCs w:val="20"/>
          <w:bdr w:val="none" w:sz="0" w:space="0" w:color="auto" w:frame="1"/>
        </w:rPr>
        <w:t>41</w:t>
      </w:r>
      <w:r>
        <w:rPr>
          <w:rFonts w:ascii="Arial" w:hAnsi="Arial" w:cs="Arial"/>
          <w:color w:val="222222"/>
          <w:sz w:val="20"/>
          <w:szCs w:val="20"/>
        </w:rPr>
        <w:t>(3), 303-306.</w:t>
      </w:r>
    </w:p>
    <w:p w14:paraId="21C5F13F" w14:textId="77777777" w:rsidR="005756E2" w:rsidRDefault="005756E2" w:rsidP="005756E2">
      <w:pPr>
        <w:rPr>
          <w:rFonts w:ascii="Arial" w:hAnsi="Arial" w:cs="Arial"/>
          <w:color w:val="222222"/>
          <w:sz w:val="20"/>
          <w:szCs w:val="20"/>
        </w:rPr>
      </w:pPr>
      <w:proofErr w:type="spellStart"/>
      <w:r w:rsidRPr="005756E2">
        <w:rPr>
          <w:rFonts w:ascii="Arial" w:hAnsi="Arial" w:cs="Arial"/>
          <w:color w:val="222222"/>
          <w:sz w:val="20"/>
          <w:szCs w:val="20"/>
        </w:rPr>
        <w:t>Stolper</w:t>
      </w:r>
      <w:proofErr w:type="spellEnd"/>
      <w:r w:rsidRPr="005756E2">
        <w:rPr>
          <w:rFonts w:ascii="Arial" w:hAnsi="Arial" w:cs="Arial"/>
          <w:color w:val="222222"/>
          <w:sz w:val="20"/>
          <w:szCs w:val="20"/>
        </w:rPr>
        <w:t xml:space="preserve"> E., 1982, Water in silicate glasses: An infrared spectroscopic technique, Contributions to Mineralogy and Petrology, v. 81, p. 1–17.</w:t>
      </w:r>
      <w:r>
        <w:rPr>
          <w:rFonts w:ascii="Arial" w:hAnsi="Arial" w:cs="Arial"/>
          <w:color w:val="222222"/>
          <w:sz w:val="20"/>
          <w:szCs w:val="20"/>
        </w:rPr>
        <w:t xml:space="preserve"> </w:t>
      </w:r>
    </w:p>
    <w:p w14:paraId="1E7D1FB7" w14:textId="3A67C350" w:rsidR="006371A2" w:rsidRDefault="006371A2" w:rsidP="00301DDF">
      <w:pPr>
        <w:rPr>
          <w:rFonts w:ascii="Arial" w:hAnsi="Arial" w:cs="Arial"/>
          <w:color w:val="222222"/>
          <w:sz w:val="20"/>
          <w:szCs w:val="20"/>
        </w:rPr>
      </w:pPr>
      <w:proofErr w:type="spellStart"/>
      <w:r>
        <w:rPr>
          <w:rFonts w:ascii="Arial" w:hAnsi="Arial" w:cs="Arial"/>
          <w:color w:val="222222"/>
          <w:sz w:val="20"/>
          <w:szCs w:val="20"/>
        </w:rPr>
        <w:t>Toplis</w:t>
      </w:r>
      <w:proofErr w:type="spellEnd"/>
      <w:r>
        <w:rPr>
          <w:rFonts w:ascii="Arial" w:hAnsi="Arial" w:cs="Arial"/>
          <w:color w:val="222222"/>
          <w:sz w:val="20"/>
          <w:szCs w:val="20"/>
        </w:rPr>
        <w:t xml:space="preserve">, M. J., and </w:t>
      </w:r>
      <w:proofErr w:type="spellStart"/>
      <w:r>
        <w:rPr>
          <w:rFonts w:ascii="Arial" w:hAnsi="Arial" w:cs="Arial"/>
          <w:color w:val="222222"/>
          <w:sz w:val="20"/>
          <w:szCs w:val="20"/>
        </w:rPr>
        <w:t>Corgne</w:t>
      </w:r>
      <w:proofErr w:type="spellEnd"/>
      <w:r>
        <w:rPr>
          <w:rFonts w:ascii="Arial" w:hAnsi="Arial" w:cs="Arial"/>
          <w:color w:val="222222"/>
          <w:sz w:val="20"/>
          <w:szCs w:val="20"/>
        </w:rPr>
        <w:t xml:space="preserve">, A. (2002). An experimental study of element partitioning between magnetite, clinopyroxene and iron-bearing silicate liquids with particular emphasis on vanadium. </w:t>
      </w:r>
      <w:r>
        <w:rPr>
          <w:rFonts w:ascii="Arial" w:hAnsi="Arial" w:cs="Arial"/>
          <w:i/>
          <w:iCs/>
          <w:color w:val="222222"/>
          <w:sz w:val="20"/>
          <w:szCs w:val="20"/>
          <w:bdr w:val="none" w:sz="0" w:space="0" w:color="auto" w:frame="1"/>
        </w:rPr>
        <w:t>Contributions to Mineralogy and Petrology</w:t>
      </w:r>
      <w:r>
        <w:rPr>
          <w:rFonts w:ascii="Arial" w:hAnsi="Arial" w:cs="Arial"/>
          <w:color w:val="222222"/>
          <w:sz w:val="20"/>
          <w:szCs w:val="20"/>
        </w:rPr>
        <w:t xml:space="preserve">, </w:t>
      </w:r>
      <w:r>
        <w:rPr>
          <w:rFonts w:ascii="Arial" w:hAnsi="Arial" w:cs="Arial"/>
          <w:i/>
          <w:iCs/>
          <w:color w:val="222222"/>
          <w:sz w:val="20"/>
          <w:szCs w:val="20"/>
          <w:bdr w:val="none" w:sz="0" w:space="0" w:color="auto" w:frame="1"/>
        </w:rPr>
        <w:t>144</w:t>
      </w:r>
      <w:r>
        <w:rPr>
          <w:rFonts w:ascii="Arial" w:hAnsi="Arial" w:cs="Arial"/>
          <w:color w:val="222222"/>
          <w:sz w:val="20"/>
          <w:szCs w:val="20"/>
        </w:rPr>
        <w:t>(1), 22-37.</w:t>
      </w:r>
    </w:p>
    <w:p w14:paraId="157113B7" w14:textId="77777777" w:rsidR="00F25B86" w:rsidRDefault="00F25B86" w:rsidP="00F25B86">
      <w:pPr>
        <w:rPr>
          <w:rFonts w:ascii="Arial" w:eastAsiaTheme="majorEastAsia" w:hAnsi="Arial" w:cs="Arial"/>
          <w:color w:val="222222"/>
          <w:sz w:val="20"/>
          <w:szCs w:val="20"/>
          <w:bdr w:val="none" w:sz="0" w:space="0" w:color="auto" w:frame="1"/>
        </w:rPr>
      </w:pPr>
      <w:r w:rsidRPr="00713149">
        <w:rPr>
          <w:rFonts w:ascii="Arial" w:eastAsiaTheme="majorEastAsia" w:hAnsi="Arial" w:cs="Arial"/>
          <w:color w:val="222222"/>
          <w:sz w:val="20"/>
          <w:szCs w:val="20"/>
          <w:bdr w:val="none" w:sz="0" w:space="0" w:color="auto" w:frame="1"/>
        </w:rPr>
        <w:t>Watson, E.B., and Harrison, T.M., 1983, Zircon saturation revisited: temperature and</w:t>
      </w:r>
      <w:r>
        <w:rPr>
          <w:rFonts w:ascii="Arial" w:eastAsiaTheme="majorEastAsia" w:hAnsi="Arial" w:cs="Arial"/>
          <w:color w:val="222222"/>
          <w:sz w:val="20"/>
          <w:szCs w:val="20"/>
          <w:bdr w:val="none" w:sz="0" w:space="0" w:color="auto" w:frame="1"/>
        </w:rPr>
        <w:t xml:space="preserve"> </w:t>
      </w:r>
      <w:r w:rsidRPr="00713149">
        <w:rPr>
          <w:rFonts w:ascii="Arial" w:eastAsiaTheme="majorEastAsia" w:hAnsi="Arial" w:cs="Arial"/>
          <w:color w:val="222222"/>
          <w:sz w:val="20"/>
          <w:szCs w:val="20"/>
          <w:bdr w:val="none" w:sz="0" w:space="0" w:color="auto" w:frame="1"/>
        </w:rPr>
        <w:t>composition effects in a variety of crustal magma types: Earth and Planetary Science</w:t>
      </w:r>
      <w:r>
        <w:rPr>
          <w:rFonts w:ascii="Arial" w:eastAsiaTheme="majorEastAsia" w:hAnsi="Arial" w:cs="Arial"/>
          <w:color w:val="222222"/>
          <w:sz w:val="20"/>
          <w:szCs w:val="20"/>
          <w:bdr w:val="none" w:sz="0" w:space="0" w:color="auto" w:frame="1"/>
        </w:rPr>
        <w:t xml:space="preserve"> </w:t>
      </w:r>
      <w:r w:rsidRPr="00713149">
        <w:rPr>
          <w:rFonts w:ascii="Arial" w:eastAsiaTheme="majorEastAsia" w:hAnsi="Arial" w:cs="Arial"/>
          <w:color w:val="222222"/>
          <w:sz w:val="20"/>
          <w:szCs w:val="20"/>
          <w:bdr w:val="none" w:sz="0" w:space="0" w:color="auto" w:frame="1"/>
        </w:rPr>
        <w:t>Letters, v. 64, p. 295-304.</w:t>
      </w:r>
    </w:p>
    <w:p w14:paraId="616A96D0" w14:textId="647CE8A4" w:rsidR="008A33D6" w:rsidRDefault="008A33D6" w:rsidP="00301DDF">
      <w:pPr>
        <w:rPr>
          <w:rFonts w:ascii="Arial" w:eastAsiaTheme="majorEastAsia" w:hAnsi="Arial" w:cs="Arial"/>
          <w:color w:val="222222"/>
          <w:sz w:val="20"/>
          <w:szCs w:val="20"/>
          <w:bdr w:val="none" w:sz="0" w:space="0" w:color="auto" w:frame="1"/>
        </w:rPr>
      </w:pPr>
      <w:r>
        <w:rPr>
          <w:rFonts w:ascii="Arial" w:hAnsi="Arial" w:cs="Arial"/>
          <w:color w:val="222222"/>
          <w:sz w:val="20"/>
          <w:szCs w:val="20"/>
        </w:rPr>
        <w:t xml:space="preserve">Wilkinson, J. J., Chang, Z., Cooke, D. R., Baker, M. J., Wilkinson, C. C., Inglis, S., Chen, H. &amp; Gemmell, J. B. (2015). The chlorite </w:t>
      </w:r>
      <w:proofErr w:type="spellStart"/>
      <w:r>
        <w:rPr>
          <w:rFonts w:ascii="Arial" w:hAnsi="Arial" w:cs="Arial"/>
          <w:color w:val="222222"/>
          <w:sz w:val="20"/>
          <w:szCs w:val="20"/>
        </w:rPr>
        <w:t>proximitor</w:t>
      </w:r>
      <w:proofErr w:type="spellEnd"/>
      <w:r>
        <w:rPr>
          <w:rFonts w:ascii="Arial" w:hAnsi="Arial" w:cs="Arial"/>
          <w:color w:val="222222"/>
          <w:sz w:val="20"/>
          <w:szCs w:val="20"/>
        </w:rPr>
        <w:t xml:space="preserve">: A new tool for detecting porphyry ore deposits. </w:t>
      </w:r>
      <w:r>
        <w:rPr>
          <w:rFonts w:ascii="Arial" w:hAnsi="Arial" w:cs="Arial"/>
          <w:i/>
          <w:iCs/>
          <w:color w:val="222222"/>
          <w:sz w:val="20"/>
          <w:szCs w:val="20"/>
          <w:bdr w:val="none" w:sz="0" w:space="0" w:color="auto" w:frame="1"/>
        </w:rPr>
        <w:t>Journal of Geochemical Exploration</w:t>
      </w:r>
      <w:r>
        <w:rPr>
          <w:rFonts w:ascii="Arial" w:hAnsi="Arial" w:cs="Arial"/>
          <w:color w:val="222222"/>
          <w:sz w:val="20"/>
          <w:szCs w:val="20"/>
        </w:rPr>
        <w:t xml:space="preserve">, </w:t>
      </w:r>
      <w:r>
        <w:rPr>
          <w:rFonts w:ascii="Arial" w:hAnsi="Arial" w:cs="Arial"/>
          <w:i/>
          <w:iCs/>
          <w:color w:val="222222"/>
          <w:sz w:val="20"/>
          <w:szCs w:val="20"/>
          <w:bdr w:val="none" w:sz="0" w:space="0" w:color="auto" w:frame="1"/>
        </w:rPr>
        <w:t>152</w:t>
      </w:r>
      <w:r>
        <w:rPr>
          <w:rFonts w:ascii="Arial" w:hAnsi="Arial" w:cs="Arial"/>
          <w:color w:val="222222"/>
          <w:sz w:val="20"/>
          <w:szCs w:val="20"/>
        </w:rPr>
        <w:t>, 10-26.</w:t>
      </w:r>
    </w:p>
    <w:p w14:paraId="413DE4DC" w14:textId="6FC9B4FA" w:rsidR="00135D50" w:rsidRPr="00E7674D" w:rsidRDefault="00135D50" w:rsidP="00301DDF">
      <w:pPr>
        <w:rPr>
          <w:sz w:val="20"/>
          <w:szCs w:val="20"/>
        </w:rPr>
      </w:pPr>
      <w:r>
        <w:rPr>
          <w:rFonts w:ascii="Arial" w:hAnsi="Arial" w:cs="Arial"/>
          <w:color w:val="222222"/>
          <w:sz w:val="20"/>
          <w:szCs w:val="20"/>
        </w:rPr>
        <w:t xml:space="preserve">Williams-Jones, A. E., &amp; </w:t>
      </w:r>
      <w:proofErr w:type="spellStart"/>
      <w:r>
        <w:rPr>
          <w:rFonts w:ascii="Arial" w:hAnsi="Arial" w:cs="Arial"/>
          <w:color w:val="222222"/>
          <w:sz w:val="20"/>
          <w:szCs w:val="20"/>
        </w:rPr>
        <w:t>Vasyukova</w:t>
      </w:r>
      <w:proofErr w:type="spellEnd"/>
      <w:r>
        <w:rPr>
          <w:rFonts w:ascii="Arial" w:hAnsi="Arial" w:cs="Arial"/>
          <w:color w:val="222222"/>
          <w:sz w:val="20"/>
          <w:szCs w:val="20"/>
        </w:rPr>
        <w:t xml:space="preserve">, O. V. (2018). The economic geology of scandium, the runt of the rare earth element litter. </w:t>
      </w:r>
      <w:r>
        <w:rPr>
          <w:rFonts w:ascii="Arial" w:hAnsi="Arial" w:cs="Arial"/>
          <w:i/>
          <w:iCs/>
          <w:color w:val="222222"/>
          <w:sz w:val="20"/>
          <w:szCs w:val="20"/>
          <w:bdr w:val="none" w:sz="0" w:space="0" w:color="auto" w:frame="1"/>
        </w:rPr>
        <w:t>Economic Geology</w:t>
      </w:r>
      <w:r>
        <w:rPr>
          <w:rFonts w:ascii="Arial" w:hAnsi="Arial" w:cs="Arial"/>
          <w:color w:val="222222"/>
          <w:sz w:val="20"/>
          <w:szCs w:val="20"/>
        </w:rPr>
        <w:t xml:space="preserve">, </w:t>
      </w:r>
      <w:r>
        <w:rPr>
          <w:rFonts w:ascii="Arial" w:hAnsi="Arial" w:cs="Arial"/>
          <w:i/>
          <w:iCs/>
          <w:color w:val="222222"/>
          <w:sz w:val="20"/>
          <w:szCs w:val="20"/>
          <w:bdr w:val="none" w:sz="0" w:space="0" w:color="auto" w:frame="1"/>
        </w:rPr>
        <w:t>113</w:t>
      </w:r>
      <w:r>
        <w:rPr>
          <w:rFonts w:ascii="Arial" w:hAnsi="Arial" w:cs="Arial"/>
          <w:color w:val="222222"/>
          <w:sz w:val="20"/>
          <w:szCs w:val="20"/>
        </w:rPr>
        <w:t>(4), 973-988.</w:t>
      </w:r>
    </w:p>
    <w:p w14:paraId="4FA641B5" w14:textId="7493F278" w:rsidR="00301DDF" w:rsidRDefault="005D52A5" w:rsidP="00301DDF">
      <w:pPr>
        <w:rPr>
          <w:rFonts w:ascii="Arial" w:hAnsi="Arial" w:cs="Arial"/>
          <w:color w:val="222222"/>
          <w:sz w:val="20"/>
          <w:szCs w:val="20"/>
        </w:rPr>
      </w:pPr>
      <w:r w:rsidRPr="005D52A5">
        <w:rPr>
          <w:rFonts w:ascii="Arial" w:hAnsi="Arial" w:cs="Arial"/>
          <w:color w:val="222222"/>
          <w:sz w:val="20"/>
          <w:szCs w:val="20"/>
        </w:rPr>
        <w:lastRenderedPageBreak/>
        <w:t>Yamasaki, S. I., Takeda, A., Kimura, K., &amp; Tsuchiya, N. (2016). Underestimation of chromium and zirconium in soils by hydrofluoric acid digestion and inductively coupled plasma-mass spectrometry. Soil Science and Plant Nutrition, 62(2), 121-126.</w:t>
      </w:r>
    </w:p>
    <w:sectPr w:rsidR="00301D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5AF9"/>
    <w:multiLevelType w:val="hybridMultilevel"/>
    <w:tmpl w:val="EA00AE0A"/>
    <w:lvl w:ilvl="0" w:tplc="4BC07A5C">
      <w:start w:val="1"/>
      <w:numFmt w:val="decimal"/>
      <w:lvlText w:val="(%1)"/>
      <w:lvlJc w:val="left"/>
      <w:pPr>
        <w:ind w:left="720" w:hanging="360"/>
      </w:pPr>
      <w:rPr>
        <w:rFonts w:asciiTheme="minorHAnsi" w:eastAsiaTheme="minorHAnsi" w:hAnsiTheme="minorHAnsi"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F5C3135"/>
    <w:multiLevelType w:val="hybridMultilevel"/>
    <w:tmpl w:val="FE8A9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A164806"/>
    <w:multiLevelType w:val="hybridMultilevel"/>
    <w:tmpl w:val="8D5EC6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696332E"/>
    <w:multiLevelType w:val="multilevel"/>
    <w:tmpl w:val="6692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672F0A"/>
    <w:multiLevelType w:val="hybridMultilevel"/>
    <w:tmpl w:val="926CA426"/>
    <w:lvl w:ilvl="0" w:tplc="AFEA20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33BB5"/>
    <w:multiLevelType w:val="multilevel"/>
    <w:tmpl w:val="83EC6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B0645B"/>
    <w:multiLevelType w:val="hybridMultilevel"/>
    <w:tmpl w:val="692E9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2B3416A"/>
    <w:multiLevelType w:val="hybridMultilevel"/>
    <w:tmpl w:val="926CA426"/>
    <w:lvl w:ilvl="0" w:tplc="AFEA20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DF6753"/>
    <w:multiLevelType w:val="multilevel"/>
    <w:tmpl w:val="51FE0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657CD8"/>
    <w:multiLevelType w:val="multilevel"/>
    <w:tmpl w:val="97FE6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6"/>
  </w:num>
  <w:num w:numId="4">
    <w:abstractNumId w:val="2"/>
  </w:num>
  <w:num w:numId="5">
    <w:abstractNumId w:val="8"/>
  </w:num>
  <w:num w:numId="6">
    <w:abstractNumId w:val="5"/>
  </w:num>
  <w:num w:numId="7">
    <w:abstractNumId w:val="3"/>
  </w:num>
  <w:num w:numId="8">
    <w:abstractNumId w:val="9"/>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999"/>
    <w:rsid w:val="000012B3"/>
    <w:rsid w:val="0001004C"/>
    <w:rsid w:val="000242FC"/>
    <w:rsid w:val="00030F1D"/>
    <w:rsid w:val="00035633"/>
    <w:rsid w:val="000430A9"/>
    <w:rsid w:val="000550CF"/>
    <w:rsid w:val="0007180A"/>
    <w:rsid w:val="000A620A"/>
    <w:rsid w:val="000B3970"/>
    <w:rsid w:val="00130D4C"/>
    <w:rsid w:val="00135D50"/>
    <w:rsid w:val="00161FE8"/>
    <w:rsid w:val="00174BD7"/>
    <w:rsid w:val="00197148"/>
    <w:rsid w:val="001A7E42"/>
    <w:rsid w:val="001D5749"/>
    <w:rsid w:val="001E39B7"/>
    <w:rsid w:val="001F538B"/>
    <w:rsid w:val="001F6978"/>
    <w:rsid w:val="002008DE"/>
    <w:rsid w:val="00211EBB"/>
    <w:rsid w:val="0022236F"/>
    <w:rsid w:val="00273FEB"/>
    <w:rsid w:val="00276467"/>
    <w:rsid w:val="00282369"/>
    <w:rsid w:val="002B0960"/>
    <w:rsid w:val="002B68AF"/>
    <w:rsid w:val="002C0997"/>
    <w:rsid w:val="002D2880"/>
    <w:rsid w:val="002D6789"/>
    <w:rsid w:val="002E60A4"/>
    <w:rsid w:val="002F3E10"/>
    <w:rsid w:val="00301DDF"/>
    <w:rsid w:val="00321920"/>
    <w:rsid w:val="00322F1E"/>
    <w:rsid w:val="00341490"/>
    <w:rsid w:val="00345601"/>
    <w:rsid w:val="0039115B"/>
    <w:rsid w:val="003C3BF0"/>
    <w:rsid w:val="003E13C1"/>
    <w:rsid w:val="003E1B1B"/>
    <w:rsid w:val="0042540B"/>
    <w:rsid w:val="00432D04"/>
    <w:rsid w:val="004432BC"/>
    <w:rsid w:val="00452269"/>
    <w:rsid w:val="00457710"/>
    <w:rsid w:val="004620BE"/>
    <w:rsid w:val="00463BED"/>
    <w:rsid w:val="0047323D"/>
    <w:rsid w:val="0048579F"/>
    <w:rsid w:val="004D1531"/>
    <w:rsid w:val="004D7AD7"/>
    <w:rsid w:val="004E06BC"/>
    <w:rsid w:val="00512C17"/>
    <w:rsid w:val="005271EB"/>
    <w:rsid w:val="00540FBC"/>
    <w:rsid w:val="00543C51"/>
    <w:rsid w:val="00554A12"/>
    <w:rsid w:val="00557294"/>
    <w:rsid w:val="00562F54"/>
    <w:rsid w:val="005756E2"/>
    <w:rsid w:val="00575B9D"/>
    <w:rsid w:val="00575E7F"/>
    <w:rsid w:val="005760EC"/>
    <w:rsid w:val="005804BF"/>
    <w:rsid w:val="005A4A51"/>
    <w:rsid w:val="005A5CBC"/>
    <w:rsid w:val="005C7E24"/>
    <w:rsid w:val="005D52A5"/>
    <w:rsid w:val="005E5431"/>
    <w:rsid w:val="0060494F"/>
    <w:rsid w:val="00620841"/>
    <w:rsid w:val="006223D0"/>
    <w:rsid w:val="00624DFC"/>
    <w:rsid w:val="006371A2"/>
    <w:rsid w:val="00642797"/>
    <w:rsid w:val="006456C0"/>
    <w:rsid w:val="0065154C"/>
    <w:rsid w:val="006603ED"/>
    <w:rsid w:val="00661B77"/>
    <w:rsid w:val="00663C0C"/>
    <w:rsid w:val="00664802"/>
    <w:rsid w:val="00674243"/>
    <w:rsid w:val="00681E51"/>
    <w:rsid w:val="00681EBB"/>
    <w:rsid w:val="0074167C"/>
    <w:rsid w:val="00753F02"/>
    <w:rsid w:val="00757D0F"/>
    <w:rsid w:val="00794E48"/>
    <w:rsid w:val="007E13E8"/>
    <w:rsid w:val="007F151A"/>
    <w:rsid w:val="007F72A3"/>
    <w:rsid w:val="00804FD2"/>
    <w:rsid w:val="00851B1F"/>
    <w:rsid w:val="0087241E"/>
    <w:rsid w:val="008816A9"/>
    <w:rsid w:val="008A33D6"/>
    <w:rsid w:val="008B46FD"/>
    <w:rsid w:val="008B4C7D"/>
    <w:rsid w:val="008C3F7E"/>
    <w:rsid w:val="008D677F"/>
    <w:rsid w:val="008F6F74"/>
    <w:rsid w:val="008F76CE"/>
    <w:rsid w:val="00902FA9"/>
    <w:rsid w:val="009235A9"/>
    <w:rsid w:val="00934283"/>
    <w:rsid w:val="00986E76"/>
    <w:rsid w:val="009921F1"/>
    <w:rsid w:val="009B3B16"/>
    <w:rsid w:val="009C335A"/>
    <w:rsid w:val="009C77E2"/>
    <w:rsid w:val="009E22B1"/>
    <w:rsid w:val="009F16CE"/>
    <w:rsid w:val="009F6D41"/>
    <w:rsid w:val="00A2231C"/>
    <w:rsid w:val="00A23ED5"/>
    <w:rsid w:val="00A24A69"/>
    <w:rsid w:val="00A25C88"/>
    <w:rsid w:val="00A36921"/>
    <w:rsid w:val="00A634CB"/>
    <w:rsid w:val="00A83A61"/>
    <w:rsid w:val="00A96C2E"/>
    <w:rsid w:val="00AA1D5F"/>
    <w:rsid w:val="00AA2741"/>
    <w:rsid w:val="00AA3069"/>
    <w:rsid w:val="00AA75AD"/>
    <w:rsid w:val="00AB1999"/>
    <w:rsid w:val="00AD512E"/>
    <w:rsid w:val="00AE5617"/>
    <w:rsid w:val="00AF12DF"/>
    <w:rsid w:val="00B1170C"/>
    <w:rsid w:val="00B15A2D"/>
    <w:rsid w:val="00B3014C"/>
    <w:rsid w:val="00B5620F"/>
    <w:rsid w:val="00BA3922"/>
    <w:rsid w:val="00BA7CA9"/>
    <w:rsid w:val="00BC4485"/>
    <w:rsid w:val="00BE4389"/>
    <w:rsid w:val="00C02DE0"/>
    <w:rsid w:val="00C445BC"/>
    <w:rsid w:val="00C526D7"/>
    <w:rsid w:val="00C61466"/>
    <w:rsid w:val="00C76AA1"/>
    <w:rsid w:val="00CF1BCD"/>
    <w:rsid w:val="00CF439D"/>
    <w:rsid w:val="00D27D9F"/>
    <w:rsid w:val="00D46B1E"/>
    <w:rsid w:val="00D74CEF"/>
    <w:rsid w:val="00D7685D"/>
    <w:rsid w:val="00D9545C"/>
    <w:rsid w:val="00D9633C"/>
    <w:rsid w:val="00DA3E9A"/>
    <w:rsid w:val="00DA430A"/>
    <w:rsid w:val="00DA59D4"/>
    <w:rsid w:val="00DE7E9D"/>
    <w:rsid w:val="00E033EB"/>
    <w:rsid w:val="00E07539"/>
    <w:rsid w:val="00E333DF"/>
    <w:rsid w:val="00E42127"/>
    <w:rsid w:val="00E7674D"/>
    <w:rsid w:val="00E87035"/>
    <w:rsid w:val="00E957E0"/>
    <w:rsid w:val="00EB3379"/>
    <w:rsid w:val="00EB5A67"/>
    <w:rsid w:val="00EB7AAE"/>
    <w:rsid w:val="00ED712D"/>
    <w:rsid w:val="00EF7171"/>
    <w:rsid w:val="00F15FDF"/>
    <w:rsid w:val="00F22106"/>
    <w:rsid w:val="00F25B86"/>
    <w:rsid w:val="00F27019"/>
    <w:rsid w:val="00F40DB5"/>
    <w:rsid w:val="00F55117"/>
    <w:rsid w:val="00F56E22"/>
    <w:rsid w:val="00F65F08"/>
    <w:rsid w:val="00F72D47"/>
    <w:rsid w:val="00F975F0"/>
    <w:rsid w:val="00FA5ECE"/>
    <w:rsid w:val="00FB5296"/>
    <w:rsid w:val="00FC01CD"/>
    <w:rsid w:val="00FC4EF8"/>
    <w:rsid w:val="00FF77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056C7"/>
  <w15:chartTrackingRefBased/>
  <w15:docId w15:val="{E90D3712-1F28-4A0E-881E-AF19B94B5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7E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B4C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53F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7E42"/>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2E60A4"/>
    <w:pPr>
      <w:spacing w:after="200" w:line="240" w:lineRule="auto"/>
    </w:pPr>
    <w:rPr>
      <w:i/>
      <w:iCs/>
      <w:color w:val="44546A" w:themeColor="text2"/>
      <w:sz w:val="18"/>
      <w:szCs w:val="18"/>
    </w:rPr>
  </w:style>
  <w:style w:type="character" w:styleId="Hyperlink">
    <w:name w:val="Hyperlink"/>
    <w:basedOn w:val="DefaultParagraphFont"/>
    <w:uiPriority w:val="99"/>
    <w:unhideWhenUsed/>
    <w:rsid w:val="00DA3E9A"/>
    <w:rPr>
      <w:color w:val="0563C1" w:themeColor="hyperlink"/>
      <w:u w:val="single"/>
    </w:rPr>
  </w:style>
  <w:style w:type="character" w:styleId="UnresolvedMention">
    <w:name w:val="Unresolved Mention"/>
    <w:basedOn w:val="DefaultParagraphFont"/>
    <w:uiPriority w:val="99"/>
    <w:semiHidden/>
    <w:unhideWhenUsed/>
    <w:rsid w:val="00DA3E9A"/>
    <w:rPr>
      <w:color w:val="605E5C"/>
      <w:shd w:val="clear" w:color="auto" w:fill="E1DFDD"/>
    </w:rPr>
  </w:style>
  <w:style w:type="paragraph" w:styleId="ListParagraph">
    <w:name w:val="List Paragraph"/>
    <w:basedOn w:val="Normal"/>
    <w:uiPriority w:val="34"/>
    <w:qFormat/>
    <w:rsid w:val="004620BE"/>
    <w:pPr>
      <w:ind w:left="720"/>
      <w:contextualSpacing/>
    </w:pPr>
  </w:style>
  <w:style w:type="character" w:customStyle="1" w:styleId="Heading3Char">
    <w:name w:val="Heading 3 Char"/>
    <w:basedOn w:val="DefaultParagraphFont"/>
    <w:link w:val="Heading3"/>
    <w:uiPriority w:val="9"/>
    <w:semiHidden/>
    <w:rsid w:val="00753F02"/>
    <w:rPr>
      <w:rFonts w:asciiTheme="majorHAnsi" w:eastAsiaTheme="majorEastAsia" w:hAnsiTheme="majorHAnsi" w:cstheme="majorBidi"/>
      <w:color w:val="1F3763" w:themeColor="accent1" w:themeShade="7F"/>
      <w:sz w:val="24"/>
      <w:szCs w:val="24"/>
    </w:rPr>
  </w:style>
  <w:style w:type="character" w:customStyle="1" w:styleId="nlmarticle-title">
    <w:name w:val="nlm_article-title"/>
    <w:basedOn w:val="DefaultParagraphFont"/>
    <w:rsid w:val="002B68AF"/>
  </w:style>
  <w:style w:type="character" w:customStyle="1" w:styleId="contribdegrees">
    <w:name w:val="contribdegrees"/>
    <w:basedOn w:val="DefaultParagraphFont"/>
    <w:rsid w:val="002B68AF"/>
  </w:style>
  <w:style w:type="character" w:styleId="CommentReference">
    <w:name w:val="annotation reference"/>
    <w:basedOn w:val="DefaultParagraphFont"/>
    <w:uiPriority w:val="99"/>
    <w:semiHidden/>
    <w:unhideWhenUsed/>
    <w:rsid w:val="008F6F74"/>
    <w:rPr>
      <w:sz w:val="16"/>
      <w:szCs w:val="16"/>
    </w:rPr>
  </w:style>
  <w:style w:type="paragraph" w:styleId="CommentText">
    <w:name w:val="annotation text"/>
    <w:basedOn w:val="Normal"/>
    <w:link w:val="CommentTextChar"/>
    <w:uiPriority w:val="99"/>
    <w:semiHidden/>
    <w:unhideWhenUsed/>
    <w:rsid w:val="008F6F74"/>
    <w:pPr>
      <w:spacing w:line="240" w:lineRule="auto"/>
    </w:pPr>
    <w:rPr>
      <w:sz w:val="20"/>
      <w:szCs w:val="20"/>
    </w:rPr>
  </w:style>
  <w:style w:type="character" w:customStyle="1" w:styleId="CommentTextChar">
    <w:name w:val="Comment Text Char"/>
    <w:basedOn w:val="DefaultParagraphFont"/>
    <w:link w:val="CommentText"/>
    <w:uiPriority w:val="99"/>
    <w:semiHidden/>
    <w:rsid w:val="008F6F74"/>
    <w:rPr>
      <w:sz w:val="20"/>
      <w:szCs w:val="20"/>
    </w:rPr>
  </w:style>
  <w:style w:type="paragraph" w:styleId="CommentSubject">
    <w:name w:val="annotation subject"/>
    <w:basedOn w:val="CommentText"/>
    <w:next w:val="CommentText"/>
    <w:link w:val="CommentSubjectChar"/>
    <w:uiPriority w:val="99"/>
    <w:semiHidden/>
    <w:unhideWhenUsed/>
    <w:rsid w:val="008F6F74"/>
    <w:rPr>
      <w:b/>
      <w:bCs/>
    </w:rPr>
  </w:style>
  <w:style w:type="character" w:customStyle="1" w:styleId="CommentSubjectChar">
    <w:name w:val="Comment Subject Char"/>
    <w:basedOn w:val="CommentTextChar"/>
    <w:link w:val="CommentSubject"/>
    <w:uiPriority w:val="99"/>
    <w:semiHidden/>
    <w:rsid w:val="008F6F74"/>
    <w:rPr>
      <w:b/>
      <w:bCs/>
      <w:sz w:val="20"/>
      <w:szCs w:val="20"/>
    </w:rPr>
  </w:style>
  <w:style w:type="paragraph" w:styleId="BalloonText">
    <w:name w:val="Balloon Text"/>
    <w:basedOn w:val="Normal"/>
    <w:link w:val="BalloonTextChar"/>
    <w:uiPriority w:val="99"/>
    <w:semiHidden/>
    <w:unhideWhenUsed/>
    <w:rsid w:val="008F6F7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F6F74"/>
    <w:rPr>
      <w:rFonts w:ascii="Times New Roman" w:hAnsi="Times New Roman" w:cs="Times New Roman"/>
      <w:sz w:val="18"/>
      <w:szCs w:val="18"/>
    </w:rPr>
  </w:style>
  <w:style w:type="paragraph" w:styleId="NormalWeb">
    <w:name w:val="Normal (Web)"/>
    <w:basedOn w:val="Normal"/>
    <w:uiPriority w:val="99"/>
    <w:semiHidden/>
    <w:unhideWhenUsed/>
    <w:rsid w:val="00DA43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A430A"/>
  </w:style>
  <w:style w:type="paragraph" w:customStyle="1" w:styleId="dx-doi">
    <w:name w:val="dx-doi"/>
    <w:basedOn w:val="Normal"/>
    <w:rsid w:val="00DA43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va-e-listitem">
    <w:name w:val="nova-e-list__item"/>
    <w:basedOn w:val="Normal"/>
    <w:rsid w:val="008B4C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text">
    <w:name w:val="title-text"/>
    <w:basedOn w:val="DefaultParagraphFont"/>
    <w:rsid w:val="008B4C7D"/>
  </w:style>
  <w:style w:type="character" w:customStyle="1" w:styleId="sr-only">
    <w:name w:val="sr-only"/>
    <w:basedOn w:val="DefaultParagraphFont"/>
    <w:rsid w:val="008B4C7D"/>
  </w:style>
  <w:style w:type="character" w:customStyle="1" w:styleId="text">
    <w:name w:val="text"/>
    <w:basedOn w:val="DefaultParagraphFont"/>
    <w:rsid w:val="008B4C7D"/>
  </w:style>
  <w:style w:type="character" w:customStyle="1" w:styleId="author-ref">
    <w:name w:val="author-ref"/>
    <w:basedOn w:val="DefaultParagraphFont"/>
    <w:rsid w:val="008B4C7D"/>
  </w:style>
  <w:style w:type="character" w:customStyle="1" w:styleId="Heading2Char">
    <w:name w:val="Heading 2 Char"/>
    <w:basedOn w:val="DefaultParagraphFont"/>
    <w:link w:val="Heading2"/>
    <w:uiPriority w:val="9"/>
    <w:semiHidden/>
    <w:rsid w:val="008B4C7D"/>
    <w:rPr>
      <w:rFonts w:asciiTheme="majorHAnsi" w:eastAsiaTheme="majorEastAsia" w:hAnsiTheme="majorHAnsi" w:cstheme="majorBidi"/>
      <w:color w:val="2F5496" w:themeColor="accent1" w:themeShade="BF"/>
      <w:sz w:val="26"/>
      <w:szCs w:val="26"/>
    </w:rPr>
  </w:style>
  <w:style w:type="character" w:customStyle="1" w:styleId="al-author-delim">
    <w:name w:val="al-author-delim"/>
    <w:basedOn w:val="DefaultParagraphFont"/>
    <w:rsid w:val="00BE4389"/>
  </w:style>
  <w:style w:type="paragraph" w:styleId="Revision">
    <w:name w:val="Revision"/>
    <w:hidden/>
    <w:uiPriority w:val="99"/>
    <w:semiHidden/>
    <w:rsid w:val="008F76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91704">
      <w:bodyDiv w:val="1"/>
      <w:marLeft w:val="0"/>
      <w:marRight w:val="0"/>
      <w:marTop w:val="0"/>
      <w:marBottom w:val="0"/>
      <w:divBdr>
        <w:top w:val="none" w:sz="0" w:space="0" w:color="auto"/>
        <w:left w:val="none" w:sz="0" w:space="0" w:color="auto"/>
        <w:bottom w:val="none" w:sz="0" w:space="0" w:color="auto"/>
        <w:right w:val="none" w:sz="0" w:space="0" w:color="auto"/>
      </w:divBdr>
      <w:divsChild>
        <w:div w:id="1106004323">
          <w:marLeft w:val="0"/>
          <w:marRight w:val="0"/>
          <w:marTop w:val="0"/>
          <w:marBottom w:val="120"/>
          <w:divBdr>
            <w:top w:val="none" w:sz="0" w:space="0" w:color="auto"/>
            <w:left w:val="none" w:sz="0" w:space="0" w:color="auto"/>
            <w:bottom w:val="none" w:sz="0" w:space="0" w:color="auto"/>
            <w:right w:val="none" w:sz="0" w:space="0" w:color="auto"/>
          </w:divBdr>
          <w:divsChild>
            <w:div w:id="628584354">
              <w:marLeft w:val="0"/>
              <w:marRight w:val="0"/>
              <w:marTop w:val="0"/>
              <w:marBottom w:val="0"/>
              <w:divBdr>
                <w:top w:val="none" w:sz="0" w:space="0" w:color="auto"/>
                <w:left w:val="none" w:sz="0" w:space="0" w:color="auto"/>
                <w:bottom w:val="none" w:sz="0" w:space="0" w:color="auto"/>
                <w:right w:val="none" w:sz="0" w:space="0" w:color="auto"/>
              </w:divBdr>
              <w:divsChild>
                <w:div w:id="1920097884">
                  <w:marLeft w:val="0"/>
                  <w:marRight w:val="0"/>
                  <w:marTop w:val="0"/>
                  <w:marBottom w:val="0"/>
                  <w:divBdr>
                    <w:top w:val="none" w:sz="0" w:space="0" w:color="auto"/>
                    <w:left w:val="none" w:sz="0" w:space="0" w:color="auto"/>
                    <w:bottom w:val="none" w:sz="0" w:space="0" w:color="auto"/>
                    <w:right w:val="none" w:sz="0" w:space="0" w:color="auto"/>
                  </w:divBdr>
                  <w:divsChild>
                    <w:div w:id="14232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42586">
      <w:bodyDiv w:val="1"/>
      <w:marLeft w:val="0"/>
      <w:marRight w:val="0"/>
      <w:marTop w:val="0"/>
      <w:marBottom w:val="0"/>
      <w:divBdr>
        <w:top w:val="none" w:sz="0" w:space="0" w:color="auto"/>
        <w:left w:val="none" w:sz="0" w:space="0" w:color="auto"/>
        <w:bottom w:val="none" w:sz="0" w:space="0" w:color="auto"/>
        <w:right w:val="none" w:sz="0" w:space="0" w:color="auto"/>
      </w:divBdr>
    </w:div>
    <w:div w:id="209465899">
      <w:bodyDiv w:val="1"/>
      <w:marLeft w:val="0"/>
      <w:marRight w:val="0"/>
      <w:marTop w:val="0"/>
      <w:marBottom w:val="0"/>
      <w:divBdr>
        <w:top w:val="none" w:sz="0" w:space="0" w:color="auto"/>
        <w:left w:val="none" w:sz="0" w:space="0" w:color="auto"/>
        <w:bottom w:val="none" w:sz="0" w:space="0" w:color="auto"/>
        <w:right w:val="none" w:sz="0" w:space="0" w:color="auto"/>
      </w:divBdr>
    </w:div>
    <w:div w:id="229341985">
      <w:bodyDiv w:val="1"/>
      <w:marLeft w:val="0"/>
      <w:marRight w:val="0"/>
      <w:marTop w:val="0"/>
      <w:marBottom w:val="0"/>
      <w:divBdr>
        <w:top w:val="none" w:sz="0" w:space="0" w:color="auto"/>
        <w:left w:val="none" w:sz="0" w:space="0" w:color="auto"/>
        <w:bottom w:val="none" w:sz="0" w:space="0" w:color="auto"/>
        <w:right w:val="none" w:sz="0" w:space="0" w:color="auto"/>
      </w:divBdr>
      <w:divsChild>
        <w:div w:id="762384445">
          <w:marLeft w:val="0"/>
          <w:marRight w:val="0"/>
          <w:marTop w:val="0"/>
          <w:marBottom w:val="0"/>
          <w:divBdr>
            <w:top w:val="none" w:sz="0" w:space="0" w:color="auto"/>
            <w:left w:val="none" w:sz="0" w:space="0" w:color="auto"/>
            <w:bottom w:val="none" w:sz="0" w:space="0" w:color="auto"/>
            <w:right w:val="none" w:sz="0" w:space="0" w:color="auto"/>
          </w:divBdr>
          <w:divsChild>
            <w:div w:id="1618953729">
              <w:marLeft w:val="0"/>
              <w:marRight w:val="0"/>
              <w:marTop w:val="0"/>
              <w:marBottom w:val="0"/>
              <w:divBdr>
                <w:top w:val="none" w:sz="0" w:space="0" w:color="auto"/>
                <w:left w:val="none" w:sz="0" w:space="0" w:color="auto"/>
                <w:bottom w:val="none" w:sz="0" w:space="0" w:color="auto"/>
                <w:right w:val="none" w:sz="0" w:space="0" w:color="auto"/>
              </w:divBdr>
              <w:divsChild>
                <w:div w:id="56676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894035">
      <w:bodyDiv w:val="1"/>
      <w:marLeft w:val="0"/>
      <w:marRight w:val="0"/>
      <w:marTop w:val="0"/>
      <w:marBottom w:val="0"/>
      <w:divBdr>
        <w:top w:val="none" w:sz="0" w:space="0" w:color="auto"/>
        <w:left w:val="none" w:sz="0" w:space="0" w:color="auto"/>
        <w:bottom w:val="none" w:sz="0" w:space="0" w:color="auto"/>
        <w:right w:val="none" w:sz="0" w:space="0" w:color="auto"/>
      </w:divBdr>
    </w:div>
    <w:div w:id="338240573">
      <w:bodyDiv w:val="1"/>
      <w:marLeft w:val="0"/>
      <w:marRight w:val="0"/>
      <w:marTop w:val="0"/>
      <w:marBottom w:val="0"/>
      <w:divBdr>
        <w:top w:val="none" w:sz="0" w:space="0" w:color="auto"/>
        <w:left w:val="none" w:sz="0" w:space="0" w:color="auto"/>
        <w:bottom w:val="none" w:sz="0" w:space="0" w:color="auto"/>
        <w:right w:val="none" w:sz="0" w:space="0" w:color="auto"/>
      </w:divBdr>
      <w:divsChild>
        <w:div w:id="38285824">
          <w:marLeft w:val="0"/>
          <w:marRight w:val="0"/>
          <w:marTop w:val="0"/>
          <w:marBottom w:val="150"/>
          <w:divBdr>
            <w:top w:val="none" w:sz="0" w:space="0" w:color="auto"/>
            <w:left w:val="none" w:sz="0" w:space="0" w:color="auto"/>
            <w:bottom w:val="none" w:sz="0" w:space="0" w:color="auto"/>
            <w:right w:val="none" w:sz="0" w:space="0" w:color="auto"/>
          </w:divBdr>
        </w:div>
        <w:div w:id="114714738">
          <w:marLeft w:val="0"/>
          <w:marRight w:val="0"/>
          <w:marTop w:val="0"/>
          <w:marBottom w:val="225"/>
          <w:divBdr>
            <w:top w:val="none" w:sz="0" w:space="0" w:color="auto"/>
            <w:left w:val="none" w:sz="0" w:space="0" w:color="auto"/>
            <w:bottom w:val="none" w:sz="0" w:space="0" w:color="auto"/>
            <w:right w:val="none" w:sz="0" w:space="0" w:color="auto"/>
          </w:divBdr>
          <w:divsChild>
            <w:div w:id="980693583">
              <w:marLeft w:val="0"/>
              <w:marRight w:val="0"/>
              <w:marTop w:val="0"/>
              <w:marBottom w:val="0"/>
              <w:divBdr>
                <w:top w:val="none" w:sz="0" w:space="0" w:color="auto"/>
                <w:left w:val="none" w:sz="0" w:space="0" w:color="auto"/>
                <w:bottom w:val="none" w:sz="0" w:space="0" w:color="auto"/>
                <w:right w:val="none" w:sz="0" w:space="0" w:color="auto"/>
              </w:divBdr>
              <w:divsChild>
                <w:div w:id="53505654">
                  <w:marLeft w:val="0"/>
                  <w:marRight w:val="0"/>
                  <w:marTop w:val="0"/>
                  <w:marBottom w:val="75"/>
                  <w:divBdr>
                    <w:top w:val="none" w:sz="0" w:space="0" w:color="auto"/>
                    <w:left w:val="none" w:sz="0" w:space="0" w:color="auto"/>
                    <w:bottom w:val="none" w:sz="0" w:space="0" w:color="auto"/>
                    <w:right w:val="none" w:sz="0" w:space="0" w:color="auto"/>
                  </w:divBdr>
                </w:div>
                <w:div w:id="13105532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415636172">
      <w:bodyDiv w:val="1"/>
      <w:marLeft w:val="0"/>
      <w:marRight w:val="0"/>
      <w:marTop w:val="0"/>
      <w:marBottom w:val="0"/>
      <w:divBdr>
        <w:top w:val="none" w:sz="0" w:space="0" w:color="auto"/>
        <w:left w:val="none" w:sz="0" w:space="0" w:color="auto"/>
        <w:bottom w:val="none" w:sz="0" w:space="0" w:color="auto"/>
        <w:right w:val="none" w:sz="0" w:space="0" w:color="auto"/>
      </w:divBdr>
    </w:div>
    <w:div w:id="423301719">
      <w:bodyDiv w:val="1"/>
      <w:marLeft w:val="0"/>
      <w:marRight w:val="0"/>
      <w:marTop w:val="0"/>
      <w:marBottom w:val="0"/>
      <w:divBdr>
        <w:top w:val="none" w:sz="0" w:space="0" w:color="auto"/>
        <w:left w:val="none" w:sz="0" w:space="0" w:color="auto"/>
        <w:bottom w:val="none" w:sz="0" w:space="0" w:color="auto"/>
        <w:right w:val="none" w:sz="0" w:space="0" w:color="auto"/>
      </w:divBdr>
      <w:divsChild>
        <w:div w:id="411511742">
          <w:marLeft w:val="0"/>
          <w:marRight w:val="0"/>
          <w:marTop w:val="0"/>
          <w:marBottom w:val="0"/>
          <w:divBdr>
            <w:top w:val="none" w:sz="0" w:space="0" w:color="auto"/>
            <w:left w:val="none" w:sz="0" w:space="0" w:color="auto"/>
            <w:bottom w:val="none" w:sz="0" w:space="0" w:color="auto"/>
            <w:right w:val="none" w:sz="0" w:space="0" w:color="auto"/>
          </w:divBdr>
          <w:divsChild>
            <w:div w:id="2124614687">
              <w:marLeft w:val="0"/>
              <w:marRight w:val="0"/>
              <w:marTop w:val="0"/>
              <w:marBottom w:val="0"/>
              <w:divBdr>
                <w:top w:val="none" w:sz="0" w:space="0" w:color="auto"/>
                <w:left w:val="none" w:sz="0" w:space="0" w:color="auto"/>
                <w:bottom w:val="none" w:sz="0" w:space="0" w:color="auto"/>
                <w:right w:val="none" w:sz="0" w:space="0" w:color="auto"/>
              </w:divBdr>
              <w:divsChild>
                <w:div w:id="1734155890">
                  <w:marLeft w:val="0"/>
                  <w:marRight w:val="0"/>
                  <w:marTop w:val="0"/>
                  <w:marBottom w:val="0"/>
                  <w:divBdr>
                    <w:top w:val="none" w:sz="0" w:space="0" w:color="auto"/>
                    <w:left w:val="none" w:sz="0" w:space="0" w:color="auto"/>
                    <w:bottom w:val="none" w:sz="0" w:space="0" w:color="auto"/>
                    <w:right w:val="none" w:sz="0" w:space="0" w:color="auto"/>
                  </w:divBdr>
                  <w:divsChild>
                    <w:div w:id="43085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04353">
          <w:marLeft w:val="0"/>
          <w:marRight w:val="0"/>
          <w:marTop w:val="0"/>
          <w:marBottom w:val="0"/>
          <w:divBdr>
            <w:top w:val="none" w:sz="0" w:space="0" w:color="auto"/>
            <w:left w:val="none" w:sz="0" w:space="0" w:color="auto"/>
            <w:bottom w:val="none" w:sz="0" w:space="0" w:color="auto"/>
            <w:right w:val="none" w:sz="0" w:space="0" w:color="auto"/>
          </w:divBdr>
          <w:divsChild>
            <w:div w:id="93940710">
              <w:marLeft w:val="0"/>
              <w:marRight w:val="0"/>
              <w:marTop w:val="0"/>
              <w:marBottom w:val="0"/>
              <w:divBdr>
                <w:top w:val="none" w:sz="0" w:space="0" w:color="auto"/>
                <w:left w:val="none" w:sz="0" w:space="0" w:color="auto"/>
                <w:bottom w:val="none" w:sz="0" w:space="0" w:color="auto"/>
                <w:right w:val="none" w:sz="0" w:space="0" w:color="auto"/>
              </w:divBdr>
              <w:divsChild>
                <w:div w:id="434063141">
                  <w:marLeft w:val="0"/>
                  <w:marRight w:val="0"/>
                  <w:marTop w:val="0"/>
                  <w:marBottom w:val="0"/>
                  <w:divBdr>
                    <w:top w:val="none" w:sz="0" w:space="0" w:color="auto"/>
                    <w:left w:val="none" w:sz="0" w:space="0" w:color="auto"/>
                    <w:bottom w:val="none" w:sz="0" w:space="0" w:color="auto"/>
                    <w:right w:val="none" w:sz="0" w:space="0" w:color="auto"/>
                  </w:divBdr>
                  <w:divsChild>
                    <w:div w:id="972251780">
                      <w:marLeft w:val="0"/>
                      <w:marRight w:val="0"/>
                      <w:marTop w:val="0"/>
                      <w:marBottom w:val="0"/>
                      <w:divBdr>
                        <w:top w:val="none" w:sz="0" w:space="0" w:color="auto"/>
                        <w:left w:val="none" w:sz="0" w:space="0" w:color="auto"/>
                        <w:bottom w:val="none" w:sz="0" w:space="0" w:color="auto"/>
                        <w:right w:val="none" w:sz="0" w:space="0" w:color="auto"/>
                      </w:divBdr>
                      <w:divsChild>
                        <w:div w:id="1721048131">
                          <w:marLeft w:val="0"/>
                          <w:marRight w:val="0"/>
                          <w:marTop w:val="0"/>
                          <w:marBottom w:val="0"/>
                          <w:divBdr>
                            <w:top w:val="none" w:sz="0" w:space="0" w:color="auto"/>
                            <w:left w:val="none" w:sz="0" w:space="0" w:color="auto"/>
                            <w:bottom w:val="none" w:sz="0" w:space="0" w:color="auto"/>
                            <w:right w:val="none" w:sz="0" w:space="0" w:color="auto"/>
                          </w:divBdr>
                          <w:divsChild>
                            <w:div w:id="1835291029">
                              <w:marLeft w:val="0"/>
                              <w:marRight w:val="0"/>
                              <w:marTop w:val="0"/>
                              <w:marBottom w:val="0"/>
                              <w:divBdr>
                                <w:top w:val="none" w:sz="0" w:space="0" w:color="auto"/>
                                <w:left w:val="none" w:sz="0" w:space="0" w:color="auto"/>
                                <w:bottom w:val="none" w:sz="0" w:space="0" w:color="auto"/>
                                <w:right w:val="none" w:sz="0" w:space="0" w:color="auto"/>
                              </w:divBdr>
                              <w:divsChild>
                                <w:div w:id="1580751621">
                                  <w:marLeft w:val="0"/>
                                  <w:marRight w:val="0"/>
                                  <w:marTop w:val="0"/>
                                  <w:marBottom w:val="0"/>
                                  <w:divBdr>
                                    <w:top w:val="none" w:sz="0" w:space="0" w:color="auto"/>
                                    <w:left w:val="none" w:sz="0" w:space="0" w:color="auto"/>
                                    <w:bottom w:val="none" w:sz="0" w:space="0" w:color="auto"/>
                                    <w:right w:val="none" w:sz="0" w:space="0" w:color="auto"/>
                                  </w:divBdr>
                                  <w:divsChild>
                                    <w:div w:id="1293244241">
                                      <w:marLeft w:val="0"/>
                                      <w:marRight w:val="0"/>
                                      <w:marTop w:val="0"/>
                                      <w:marBottom w:val="0"/>
                                      <w:divBdr>
                                        <w:top w:val="none" w:sz="0" w:space="0" w:color="auto"/>
                                        <w:left w:val="none" w:sz="0" w:space="0" w:color="auto"/>
                                        <w:bottom w:val="none" w:sz="0" w:space="0" w:color="auto"/>
                                        <w:right w:val="none" w:sz="0" w:space="0" w:color="auto"/>
                                      </w:divBdr>
                                      <w:divsChild>
                                        <w:div w:id="7078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9725492">
      <w:bodyDiv w:val="1"/>
      <w:marLeft w:val="0"/>
      <w:marRight w:val="0"/>
      <w:marTop w:val="0"/>
      <w:marBottom w:val="0"/>
      <w:divBdr>
        <w:top w:val="none" w:sz="0" w:space="0" w:color="auto"/>
        <w:left w:val="none" w:sz="0" w:space="0" w:color="auto"/>
        <w:bottom w:val="none" w:sz="0" w:space="0" w:color="auto"/>
        <w:right w:val="none" w:sz="0" w:space="0" w:color="auto"/>
      </w:divBdr>
    </w:div>
    <w:div w:id="677079357">
      <w:bodyDiv w:val="1"/>
      <w:marLeft w:val="0"/>
      <w:marRight w:val="0"/>
      <w:marTop w:val="0"/>
      <w:marBottom w:val="0"/>
      <w:divBdr>
        <w:top w:val="none" w:sz="0" w:space="0" w:color="auto"/>
        <w:left w:val="none" w:sz="0" w:space="0" w:color="auto"/>
        <w:bottom w:val="none" w:sz="0" w:space="0" w:color="auto"/>
        <w:right w:val="none" w:sz="0" w:space="0" w:color="auto"/>
      </w:divBdr>
    </w:div>
    <w:div w:id="693651802">
      <w:bodyDiv w:val="1"/>
      <w:marLeft w:val="0"/>
      <w:marRight w:val="0"/>
      <w:marTop w:val="0"/>
      <w:marBottom w:val="0"/>
      <w:divBdr>
        <w:top w:val="none" w:sz="0" w:space="0" w:color="auto"/>
        <w:left w:val="none" w:sz="0" w:space="0" w:color="auto"/>
        <w:bottom w:val="none" w:sz="0" w:space="0" w:color="auto"/>
        <w:right w:val="none" w:sz="0" w:space="0" w:color="auto"/>
      </w:divBdr>
    </w:div>
    <w:div w:id="707536855">
      <w:bodyDiv w:val="1"/>
      <w:marLeft w:val="0"/>
      <w:marRight w:val="0"/>
      <w:marTop w:val="0"/>
      <w:marBottom w:val="0"/>
      <w:divBdr>
        <w:top w:val="none" w:sz="0" w:space="0" w:color="auto"/>
        <w:left w:val="none" w:sz="0" w:space="0" w:color="auto"/>
        <w:bottom w:val="none" w:sz="0" w:space="0" w:color="auto"/>
        <w:right w:val="none" w:sz="0" w:space="0" w:color="auto"/>
      </w:divBdr>
    </w:div>
    <w:div w:id="745759393">
      <w:bodyDiv w:val="1"/>
      <w:marLeft w:val="0"/>
      <w:marRight w:val="0"/>
      <w:marTop w:val="0"/>
      <w:marBottom w:val="0"/>
      <w:divBdr>
        <w:top w:val="none" w:sz="0" w:space="0" w:color="auto"/>
        <w:left w:val="none" w:sz="0" w:space="0" w:color="auto"/>
        <w:bottom w:val="none" w:sz="0" w:space="0" w:color="auto"/>
        <w:right w:val="none" w:sz="0" w:space="0" w:color="auto"/>
      </w:divBdr>
    </w:div>
    <w:div w:id="803616015">
      <w:bodyDiv w:val="1"/>
      <w:marLeft w:val="0"/>
      <w:marRight w:val="0"/>
      <w:marTop w:val="0"/>
      <w:marBottom w:val="0"/>
      <w:divBdr>
        <w:top w:val="none" w:sz="0" w:space="0" w:color="auto"/>
        <w:left w:val="none" w:sz="0" w:space="0" w:color="auto"/>
        <w:bottom w:val="none" w:sz="0" w:space="0" w:color="auto"/>
        <w:right w:val="none" w:sz="0" w:space="0" w:color="auto"/>
      </w:divBdr>
    </w:div>
    <w:div w:id="816186817">
      <w:bodyDiv w:val="1"/>
      <w:marLeft w:val="0"/>
      <w:marRight w:val="0"/>
      <w:marTop w:val="0"/>
      <w:marBottom w:val="0"/>
      <w:divBdr>
        <w:top w:val="none" w:sz="0" w:space="0" w:color="auto"/>
        <w:left w:val="none" w:sz="0" w:space="0" w:color="auto"/>
        <w:bottom w:val="none" w:sz="0" w:space="0" w:color="auto"/>
        <w:right w:val="none" w:sz="0" w:space="0" w:color="auto"/>
      </w:divBdr>
    </w:div>
    <w:div w:id="830171475">
      <w:bodyDiv w:val="1"/>
      <w:marLeft w:val="0"/>
      <w:marRight w:val="0"/>
      <w:marTop w:val="0"/>
      <w:marBottom w:val="0"/>
      <w:divBdr>
        <w:top w:val="none" w:sz="0" w:space="0" w:color="auto"/>
        <w:left w:val="none" w:sz="0" w:space="0" w:color="auto"/>
        <w:bottom w:val="none" w:sz="0" w:space="0" w:color="auto"/>
        <w:right w:val="none" w:sz="0" w:space="0" w:color="auto"/>
      </w:divBdr>
      <w:divsChild>
        <w:div w:id="788161914">
          <w:marLeft w:val="0"/>
          <w:marRight w:val="0"/>
          <w:marTop w:val="0"/>
          <w:marBottom w:val="0"/>
          <w:divBdr>
            <w:top w:val="none" w:sz="0" w:space="0" w:color="auto"/>
            <w:left w:val="none" w:sz="0" w:space="0" w:color="auto"/>
            <w:bottom w:val="none" w:sz="0" w:space="0" w:color="auto"/>
            <w:right w:val="none" w:sz="0" w:space="0" w:color="auto"/>
          </w:divBdr>
          <w:divsChild>
            <w:div w:id="1243367237">
              <w:marLeft w:val="0"/>
              <w:marRight w:val="0"/>
              <w:marTop w:val="0"/>
              <w:marBottom w:val="0"/>
              <w:divBdr>
                <w:top w:val="none" w:sz="0" w:space="0" w:color="auto"/>
                <w:left w:val="none" w:sz="0" w:space="0" w:color="auto"/>
                <w:bottom w:val="none" w:sz="0" w:space="0" w:color="auto"/>
                <w:right w:val="none" w:sz="0" w:space="0" w:color="auto"/>
              </w:divBdr>
              <w:divsChild>
                <w:div w:id="13266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91818">
      <w:bodyDiv w:val="1"/>
      <w:marLeft w:val="0"/>
      <w:marRight w:val="0"/>
      <w:marTop w:val="0"/>
      <w:marBottom w:val="0"/>
      <w:divBdr>
        <w:top w:val="none" w:sz="0" w:space="0" w:color="auto"/>
        <w:left w:val="none" w:sz="0" w:space="0" w:color="auto"/>
        <w:bottom w:val="none" w:sz="0" w:space="0" w:color="auto"/>
        <w:right w:val="none" w:sz="0" w:space="0" w:color="auto"/>
      </w:divBdr>
    </w:div>
    <w:div w:id="842861267">
      <w:bodyDiv w:val="1"/>
      <w:marLeft w:val="0"/>
      <w:marRight w:val="0"/>
      <w:marTop w:val="0"/>
      <w:marBottom w:val="0"/>
      <w:divBdr>
        <w:top w:val="none" w:sz="0" w:space="0" w:color="auto"/>
        <w:left w:val="none" w:sz="0" w:space="0" w:color="auto"/>
        <w:bottom w:val="none" w:sz="0" w:space="0" w:color="auto"/>
        <w:right w:val="none" w:sz="0" w:space="0" w:color="auto"/>
      </w:divBdr>
    </w:div>
    <w:div w:id="887303041">
      <w:bodyDiv w:val="1"/>
      <w:marLeft w:val="0"/>
      <w:marRight w:val="0"/>
      <w:marTop w:val="0"/>
      <w:marBottom w:val="0"/>
      <w:divBdr>
        <w:top w:val="none" w:sz="0" w:space="0" w:color="auto"/>
        <w:left w:val="none" w:sz="0" w:space="0" w:color="auto"/>
        <w:bottom w:val="none" w:sz="0" w:space="0" w:color="auto"/>
        <w:right w:val="none" w:sz="0" w:space="0" w:color="auto"/>
      </w:divBdr>
    </w:div>
    <w:div w:id="934752756">
      <w:bodyDiv w:val="1"/>
      <w:marLeft w:val="0"/>
      <w:marRight w:val="0"/>
      <w:marTop w:val="0"/>
      <w:marBottom w:val="0"/>
      <w:divBdr>
        <w:top w:val="none" w:sz="0" w:space="0" w:color="auto"/>
        <w:left w:val="none" w:sz="0" w:space="0" w:color="auto"/>
        <w:bottom w:val="none" w:sz="0" w:space="0" w:color="auto"/>
        <w:right w:val="none" w:sz="0" w:space="0" w:color="auto"/>
      </w:divBdr>
    </w:div>
    <w:div w:id="1287152988">
      <w:bodyDiv w:val="1"/>
      <w:marLeft w:val="0"/>
      <w:marRight w:val="0"/>
      <w:marTop w:val="0"/>
      <w:marBottom w:val="0"/>
      <w:divBdr>
        <w:top w:val="none" w:sz="0" w:space="0" w:color="auto"/>
        <w:left w:val="none" w:sz="0" w:space="0" w:color="auto"/>
        <w:bottom w:val="none" w:sz="0" w:space="0" w:color="auto"/>
        <w:right w:val="none" w:sz="0" w:space="0" w:color="auto"/>
      </w:divBdr>
    </w:div>
    <w:div w:id="1343320455">
      <w:bodyDiv w:val="1"/>
      <w:marLeft w:val="0"/>
      <w:marRight w:val="0"/>
      <w:marTop w:val="0"/>
      <w:marBottom w:val="0"/>
      <w:divBdr>
        <w:top w:val="none" w:sz="0" w:space="0" w:color="auto"/>
        <w:left w:val="none" w:sz="0" w:space="0" w:color="auto"/>
        <w:bottom w:val="none" w:sz="0" w:space="0" w:color="auto"/>
        <w:right w:val="none" w:sz="0" w:space="0" w:color="auto"/>
      </w:divBdr>
    </w:div>
    <w:div w:id="1469133076">
      <w:bodyDiv w:val="1"/>
      <w:marLeft w:val="0"/>
      <w:marRight w:val="0"/>
      <w:marTop w:val="0"/>
      <w:marBottom w:val="0"/>
      <w:divBdr>
        <w:top w:val="none" w:sz="0" w:space="0" w:color="auto"/>
        <w:left w:val="none" w:sz="0" w:space="0" w:color="auto"/>
        <w:bottom w:val="none" w:sz="0" w:space="0" w:color="auto"/>
        <w:right w:val="none" w:sz="0" w:space="0" w:color="auto"/>
      </w:divBdr>
    </w:div>
    <w:div w:id="1474524874">
      <w:bodyDiv w:val="1"/>
      <w:marLeft w:val="0"/>
      <w:marRight w:val="0"/>
      <w:marTop w:val="0"/>
      <w:marBottom w:val="0"/>
      <w:divBdr>
        <w:top w:val="none" w:sz="0" w:space="0" w:color="auto"/>
        <w:left w:val="none" w:sz="0" w:space="0" w:color="auto"/>
        <w:bottom w:val="none" w:sz="0" w:space="0" w:color="auto"/>
        <w:right w:val="none" w:sz="0" w:space="0" w:color="auto"/>
      </w:divBdr>
    </w:div>
    <w:div w:id="1479766849">
      <w:bodyDiv w:val="1"/>
      <w:marLeft w:val="0"/>
      <w:marRight w:val="0"/>
      <w:marTop w:val="0"/>
      <w:marBottom w:val="0"/>
      <w:divBdr>
        <w:top w:val="none" w:sz="0" w:space="0" w:color="auto"/>
        <w:left w:val="none" w:sz="0" w:space="0" w:color="auto"/>
        <w:bottom w:val="none" w:sz="0" w:space="0" w:color="auto"/>
        <w:right w:val="none" w:sz="0" w:space="0" w:color="auto"/>
      </w:divBdr>
      <w:divsChild>
        <w:div w:id="602420080">
          <w:marLeft w:val="0"/>
          <w:marRight w:val="0"/>
          <w:marTop w:val="0"/>
          <w:marBottom w:val="0"/>
          <w:divBdr>
            <w:top w:val="none" w:sz="0" w:space="0" w:color="auto"/>
            <w:left w:val="none" w:sz="0" w:space="0" w:color="auto"/>
            <w:bottom w:val="none" w:sz="0" w:space="0" w:color="auto"/>
            <w:right w:val="none" w:sz="0" w:space="0" w:color="auto"/>
          </w:divBdr>
          <w:divsChild>
            <w:div w:id="852913614">
              <w:marLeft w:val="0"/>
              <w:marRight w:val="0"/>
              <w:marTop w:val="0"/>
              <w:marBottom w:val="0"/>
              <w:divBdr>
                <w:top w:val="none" w:sz="0" w:space="0" w:color="auto"/>
                <w:left w:val="none" w:sz="0" w:space="0" w:color="auto"/>
                <w:bottom w:val="none" w:sz="0" w:space="0" w:color="auto"/>
                <w:right w:val="none" w:sz="0" w:space="0" w:color="auto"/>
              </w:divBdr>
              <w:divsChild>
                <w:div w:id="62110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131903">
      <w:bodyDiv w:val="1"/>
      <w:marLeft w:val="0"/>
      <w:marRight w:val="0"/>
      <w:marTop w:val="0"/>
      <w:marBottom w:val="0"/>
      <w:divBdr>
        <w:top w:val="none" w:sz="0" w:space="0" w:color="auto"/>
        <w:left w:val="none" w:sz="0" w:space="0" w:color="auto"/>
        <w:bottom w:val="none" w:sz="0" w:space="0" w:color="auto"/>
        <w:right w:val="none" w:sz="0" w:space="0" w:color="auto"/>
      </w:divBdr>
      <w:divsChild>
        <w:div w:id="1353998601">
          <w:marLeft w:val="0"/>
          <w:marRight w:val="0"/>
          <w:marTop w:val="240"/>
          <w:marBottom w:val="0"/>
          <w:divBdr>
            <w:top w:val="none" w:sz="0" w:space="0" w:color="auto"/>
            <w:left w:val="none" w:sz="0" w:space="0" w:color="auto"/>
            <w:bottom w:val="none" w:sz="0" w:space="0" w:color="auto"/>
            <w:right w:val="none" w:sz="0" w:space="0" w:color="auto"/>
          </w:divBdr>
          <w:divsChild>
            <w:div w:id="1601598050">
              <w:marLeft w:val="0"/>
              <w:marRight w:val="0"/>
              <w:marTop w:val="0"/>
              <w:marBottom w:val="180"/>
              <w:divBdr>
                <w:top w:val="none" w:sz="0" w:space="0" w:color="auto"/>
                <w:left w:val="none" w:sz="0" w:space="0" w:color="auto"/>
                <w:bottom w:val="none" w:sz="0" w:space="0" w:color="auto"/>
                <w:right w:val="none" w:sz="0" w:space="0" w:color="auto"/>
              </w:divBdr>
              <w:divsChild>
                <w:div w:id="137000689">
                  <w:marLeft w:val="0"/>
                  <w:marRight w:val="0"/>
                  <w:marTop w:val="0"/>
                  <w:marBottom w:val="0"/>
                  <w:divBdr>
                    <w:top w:val="none" w:sz="0" w:space="0" w:color="auto"/>
                    <w:left w:val="none" w:sz="0" w:space="0" w:color="auto"/>
                    <w:bottom w:val="none" w:sz="0" w:space="0" w:color="auto"/>
                    <w:right w:val="none" w:sz="0" w:space="0" w:color="auto"/>
                  </w:divBdr>
                </w:div>
                <w:div w:id="917134760">
                  <w:marLeft w:val="0"/>
                  <w:marRight w:val="0"/>
                  <w:marTop w:val="0"/>
                  <w:marBottom w:val="0"/>
                  <w:divBdr>
                    <w:top w:val="none" w:sz="0" w:space="0" w:color="auto"/>
                    <w:left w:val="none" w:sz="0" w:space="0" w:color="auto"/>
                    <w:bottom w:val="none" w:sz="0" w:space="0" w:color="auto"/>
                    <w:right w:val="none" w:sz="0" w:space="0" w:color="auto"/>
                  </w:divBdr>
                </w:div>
                <w:div w:id="344865370">
                  <w:marLeft w:val="0"/>
                  <w:marRight w:val="0"/>
                  <w:marTop w:val="0"/>
                  <w:marBottom w:val="0"/>
                  <w:divBdr>
                    <w:top w:val="none" w:sz="0" w:space="0" w:color="auto"/>
                    <w:left w:val="none" w:sz="0" w:space="0" w:color="auto"/>
                    <w:bottom w:val="none" w:sz="0" w:space="0" w:color="auto"/>
                    <w:right w:val="none" w:sz="0" w:space="0" w:color="auto"/>
                  </w:divBdr>
                </w:div>
                <w:div w:id="984164080">
                  <w:marLeft w:val="0"/>
                  <w:marRight w:val="0"/>
                  <w:marTop w:val="0"/>
                  <w:marBottom w:val="0"/>
                  <w:divBdr>
                    <w:top w:val="none" w:sz="0" w:space="0" w:color="auto"/>
                    <w:left w:val="none" w:sz="0" w:space="0" w:color="auto"/>
                    <w:bottom w:val="none" w:sz="0" w:space="0" w:color="auto"/>
                    <w:right w:val="none" w:sz="0" w:space="0" w:color="auto"/>
                  </w:divBdr>
                </w:div>
                <w:div w:id="1740904383">
                  <w:marLeft w:val="0"/>
                  <w:marRight w:val="0"/>
                  <w:marTop w:val="0"/>
                  <w:marBottom w:val="0"/>
                  <w:divBdr>
                    <w:top w:val="none" w:sz="0" w:space="0" w:color="auto"/>
                    <w:left w:val="none" w:sz="0" w:space="0" w:color="auto"/>
                    <w:bottom w:val="none" w:sz="0" w:space="0" w:color="auto"/>
                    <w:right w:val="none" w:sz="0" w:space="0" w:color="auto"/>
                  </w:divBdr>
                </w:div>
                <w:div w:id="34243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83047">
          <w:marLeft w:val="0"/>
          <w:marRight w:val="0"/>
          <w:marTop w:val="180"/>
          <w:marBottom w:val="360"/>
          <w:divBdr>
            <w:top w:val="none" w:sz="0" w:space="0" w:color="auto"/>
            <w:left w:val="none" w:sz="0" w:space="0" w:color="auto"/>
            <w:bottom w:val="none" w:sz="0" w:space="0" w:color="auto"/>
            <w:right w:val="none" w:sz="0" w:space="0" w:color="auto"/>
          </w:divBdr>
          <w:divsChild>
            <w:div w:id="905065797">
              <w:marLeft w:val="0"/>
              <w:marRight w:val="0"/>
              <w:marTop w:val="0"/>
              <w:marBottom w:val="0"/>
              <w:divBdr>
                <w:top w:val="none" w:sz="0" w:space="0" w:color="auto"/>
                <w:left w:val="none" w:sz="0" w:space="0" w:color="auto"/>
                <w:bottom w:val="none" w:sz="0" w:space="0" w:color="auto"/>
                <w:right w:val="none" w:sz="0" w:space="0" w:color="auto"/>
              </w:divBdr>
              <w:divsChild>
                <w:div w:id="1077945404">
                  <w:marLeft w:val="0"/>
                  <w:marRight w:val="0"/>
                  <w:marTop w:val="0"/>
                  <w:marBottom w:val="0"/>
                  <w:divBdr>
                    <w:top w:val="none" w:sz="0" w:space="0" w:color="auto"/>
                    <w:left w:val="none" w:sz="0" w:space="0" w:color="auto"/>
                    <w:bottom w:val="none" w:sz="0" w:space="0" w:color="auto"/>
                    <w:right w:val="none" w:sz="0" w:space="0" w:color="auto"/>
                  </w:divBdr>
                </w:div>
              </w:divsChild>
            </w:div>
            <w:div w:id="955216298">
              <w:marLeft w:val="0"/>
              <w:marRight w:val="0"/>
              <w:marTop w:val="180"/>
              <w:marBottom w:val="0"/>
              <w:divBdr>
                <w:top w:val="none" w:sz="0" w:space="0" w:color="auto"/>
                <w:left w:val="none" w:sz="0" w:space="0" w:color="auto"/>
                <w:bottom w:val="none" w:sz="0" w:space="0" w:color="auto"/>
                <w:right w:val="none" w:sz="0" w:space="0" w:color="auto"/>
              </w:divBdr>
              <w:divsChild>
                <w:div w:id="2250229">
                  <w:marLeft w:val="0"/>
                  <w:marRight w:val="0"/>
                  <w:marTop w:val="0"/>
                  <w:marBottom w:val="0"/>
                  <w:divBdr>
                    <w:top w:val="none" w:sz="0" w:space="0" w:color="auto"/>
                    <w:left w:val="none" w:sz="0" w:space="0" w:color="auto"/>
                    <w:bottom w:val="none" w:sz="0" w:space="0" w:color="auto"/>
                    <w:right w:val="none" w:sz="0" w:space="0" w:color="auto"/>
                  </w:divBdr>
                  <w:divsChild>
                    <w:div w:id="97742017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135467">
      <w:bodyDiv w:val="1"/>
      <w:marLeft w:val="0"/>
      <w:marRight w:val="0"/>
      <w:marTop w:val="0"/>
      <w:marBottom w:val="0"/>
      <w:divBdr>
        <w:top w:val="none" w:sz="0" w:space="0" w:color="auto"/>
        <w:left w:val="none" w:sz="0" w:space="0" w:color="auto"/>
        <w:bottom w:val="none" w:sz="0" w:space="0" w:color="auto"/>
        <w:right w:val="none" w:sz="0" w:space="0" w:color="auto"/>
      </w:divBdr>
    </w:div>
    <w:div w:id="1598783325">
      <w:bodyDiv w:val="1"/>
      <w:marLeft w:val="0"/>
      <w:marRight w:val="0"/>
      <w:marTop w:val="0"/>
      <w:marBottom w:val="0"/>
      <w:divBdr>
        <w:top w:val="none" w:sz="0" w:space="0" w:color="auto"/>
        <w:left w:val="none" w:sz="0" w:space="0" w:color="auto"/>
        <w:bottom w:val="none" w:sz="0" w:space="0" w:color="auto"/>
        <w:right w:val="none" w:sz="0" w:space="0" w:color="auto"/>
      </w:divBdr>
    </w:div>
    <w:div w:id="1690372423">
      <w:bodyDiv w:val="1"/>
      <w:marLeft w:val="0"/>
      <w:marRight w:val="0"/>
      <w:marTop w:val="0"/>
      <w:marBottom w:val="0"/>
      <w:divBdr>
        <w:top w:val="none" w:sz="0" w:space="0" w:color="auto"/>
        <w:left w:val="none" w:sz="0" w:space="0" w:color="auto"/>
        <w:bottom w:val="none" w:sz="0" w:space="0" w:color="auto"/>
        <w:right w:val="none" w:sz="0" w:space="0" w:color="auto"/>
      </w:divBdr>
    </w:div>
    <w:div w:id="1859540926">
      <w:bodyDiv w:val="1"/>
      <w:marLeft w:val="0"/>
      <w:marRight w:val="0"/>
      <w:marTop w:val="0"/>
      <w:marBottom w:val="0"/>
      <w:divBdr>
        <w:top w:val="none" w:sz="0" w:space="0" w:color="auto"/>
        <w:left w:val="none" w:sz="0" w:space="0" w:color="auto"/>
        <w:bottom w:val="none" w:sz="0" w:space="0" w:color="auto"/>
        <w:right w:val="none" w:sz="0" w:space="0" w:color="auto"/>
      </w:divBdr>
    </w:div>
    <w:div w:id="2043702494">
      <w:bodyDiv w:val="1"/>
      <w:marLeft w:val="0"/>
      <w:marRight w:val="0"/>
      <w:marTop w:val="0"/>
      <w:marBottom w:val="0"/>
      <w:divBdr>
        <w:top w:val="none" w:sz="0" w:space="0" w:color="auto"/>
        <w:left w:val="none" w:sz="0" w:space="0" w:color="auto"/>
        <w:bottom w:val="none" w:sz="0" w:space="0" w:color="auto"/>
        <w:right w:val="none" w:sz="0" w:space="0" w:color="auto"/>
      </w:divBdr>
    </w:div>
    <w:div w:id="2099252617">
      <w:bodyDiv w:val="1"/>
      <w:marLeft w:val="0"/>
      <w:marRight w:val="0"/>
      <w:marTop w:val="0"/>
      <w:marBottom w:val="0"/>
      <w:divBdr>
        <w:top w:val="none" w:sz="0" w:space="0" w:color="auto"/>
        <w:left w:val="none" w:sz="0" w:space="0" w:color="auto"/>
        <w:bottom w:val="none" w:sz="0" w:space="0" w:color="auto"/>
        <w:right w:val="none" w:sz="0" w:space="0" w:color="auto"/>
      </w:divBdr>
    </w:div>
    <w:div w:id="213011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6804</Words>
  <Characters>38787</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Halley</dc:creator>
  <cp:keywords/>
  <dc:description/>
  <cp:lastModifiedBy>Scott Halley</cp:lastModifiedBy>
  <cp:revision>2</cp:revision>
  <dcterms:created xsi:type="dcterms:W3CDTF">2019-07-21T23:48:00Z</dcterms:created>
  <dcterms:modified xsi:type="dcterms:W3CDTF">2019-07-21T23:48:00Z</dcterms:modified>
</cp:coreProperties>
</file>